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63DD" w14:textId="77777777" w:rsidR="00272D3F" w:rsidRPr="00517AB9" w:rsidRDefault="00272D3F" w:rsidP="00272D3F">
      <w:pPr>
        <w:spacing w:after="360" w:line="360" w:lineRule="auto"/>
        <w:jc w:val="center"/>
        <w:rPr>
          <w:b/>
          <w:sz w:val="32"/>
          <w:szCs w:val="32"/>
        </w:rPr>
      </w:pPr>
      <w:bookmarkStart w:id="0" w:name="_Hlk153221497"/>
      <w:r w:rsidRPr="00517AB9">
        <w:rPr>
          <w:b/>
          <w:sz w:val="32"/>
          <w:szCs w:val="32"/>
        </w:rPr>
        <w:t xml:space="preserve">Final Demonstration Agreement </w:t>
      </w:r>
    </w:p>
    <w:p w14:paraId="7575D951" w14:textId="77777777" w:rsidR="00C751AC" w:rsidRPr="00517AB9" w:rsidRDefault="00C751AC" w:rsidP="00B515DB">
      <w:pPr>
        <w:spacing w:after="1080"/>
        <w:jc w:val="center"/>
        <w:rPr>
          <w:b/>
          <w:sz w:val="32"/>
          <w:szCs w:val="32"/>
        </w:rPr>
      </w:pPr>
    </w:p>
    <w:p w14:paraId="451EF5EE" w14:textId="77777777" w:rsidR="00C751AC" w:rsidRPr="00517AB9" w:rsidRDefault="00C751AC" w:rsidP="00B515DB">
      <w:pPr>
        <w:spacing w:after="640"/>
        <w:jc w:val="center"/>
        <w:rPr>
          <w:b/>
          <w:i/>
          <w:iCs/>
          <w:sz w:val="32"/>
          <w:szCs w:val="32"/>
        </w:rPr>
      </w:pPr>
      <w:r w:rsidRPr="00517AB9">
        <w:rPr>
          <w:b/>
          <w:i/>
          <w:iCs/>
          <w:sz w:val="32"/>
          <w:szCs w:val="32"/>
        </w:rPr>
        <w:t>Between</w:t>
      </w:r>
    </w:p>
    <w:p w14:paraId="4FCD8EE4" w14:textId="77777777" w:rsidR="00C751AC" w:rsidRPr="00517AB9" w:rsidRDefault="00C751AC" w:rsidP="00B515DB">
      <w:pPr>
        <w:spacing w:after="360"/>
        <w:jc w:val="center"/>
        <w:rPr>
          <w:b/>
          <w:sz w:val="32"/>
          <w:szCs w:val="32"/>
        </w:rPr>
      </w:pPr>
      <w:r w:rsidRPr="00517AB9">
        <w:rPr>
          <w:b/>
          <w:sz w:val="32"/>
          <w:szCs w:val="32"/>
        </w:rPr>
        <w:t>The Centers for Medicare &amp; Medicaid Services (CMS)</w:t>
      </w:r>
    </w:p>
    <w:p w14:paraId="1BEF9C18" w14:textId="77777777" w:rsidR="00C751AC" w:rsidRPr="00517AB9" w:rsidRDefault="00C751AC" w:rsidP="00B515DB">
      <w:pPr>
        <w:spacing w:after="320"/>
        <w:jc w:val="center"/>
        <w:rPr>
          <w:b/>
          <w:i/>
          <w:iCs/>
        </w:rPr>
      </w:pPr>
      <w:r w:rsidRPr="00517AB9">
        <w:rPr>
          <w:b/>
          <w:bCs/>
          <w:i/>
          <w:iCs/>
        </w:rPr>
        <w:t>And</w:t>
      </w:r>
    </w:p>
    <w:p w14:paraId="52440156" w14:textId="77777777" w:rsidR="00C751AC" w:rsidRPr="00517AB9" w:rsidRDefault="00C751AC" w:rsidP="00B515DB">
      <w:pPr>
        <w:spacing w:after="640"/>
        <w:jc w:val="center"/>
        <w:rPr>
          <w:b/>
          <w:sz w:val="32"/>
          <w:szCs w:val="32"/>
        </w:rPr>
      </w:pPr>
      <w:r w:rsidRPr="00517AB9">
        <w:rPr>
          <w:b/>
          <w:sz w:val="32"/>
          <w:szCs w:val="32"/>
        </w:rPr>
        <w:t>The State of Washington</w:t>
      </w:r>
    </w:p>
    <w:p w14:paraId="15F41810" w14:textId="77777777" w:rsidR="00C751AC" w:rsidRPr="00517AB9" w:rsidRDefault="00827B0A" w:rsidP="005D05A2">
      <w:pPr>
        <w:spacing w:after="960"/>
        <w:jc w:val="center"/>
        <w:rPr>
          <w:b/>
          <w:sz w:val="32"/>
          <w:szCs w:val="32"/>
        </w:rPr>
      </w:pPr>
      <w:r w:rsidRPr="00517AB9">
        <w:rPr>
          <w:b/>
          <w:sz w:val="32"/>
          <w:szCs w:val="32"/>
        </w:rPr>
        <w:t>Regarding a</w:t>
      </w:r>
      <w:r w:rsidR="00C751AC" w:rsidRPr="00517AB9">
        <w:rPr>
          <w:b/>
          <w:sz w:val="32"/>
          <w:szCs w:val="32"/>
        </w:rPr>
        <w:t xml:space="preserve"> Federal-State Partnership to Test a Managed Fee-for-Service Financial Alignment Model for Medicare-Medicaid Enrollees</w:t>
      </w:r>
    </w:p>
    <w:p w14:paraId="504BCCCB" w14:textId="77777777" w:rsidR="00C751AC" w:rsidRPr="00517AB9" w:rsidRDefault="00C751AC" w:rsidP="005D05A2">
      <w:pPr>
        <w:jc w:val="center"/>
        <w:rPr>
          <w:b/>
          <w:sz w:val="32"/>
          <w:szCs w:val="32"/>
        </w:rPr>
      </w:pPr>
      <w:r w:rsidRPr="00517AB9">
        <w:rPr>
          <w:b/>
          <w:sz w:val="32"/>
          <w:szCs w:val="32"/>
        </w:rPr>
        <w:t xml:space="preserve">HealthPathWashington:  </w:t>
      </w:r>
    </w:p>
    <w:p w14:paraId="06FC5D51" w14:textId="77777777" w:rsidR="00C751AC" w:rsidRPr="00CA160C" w:rsidRDefault="00C751AC" w:rsidP="005D05A2">
      <w:pPr>
        <w:jc w:val="center"/>
        <w:rPr>
          <w:b/>
          <w:sz w:val="32"/>
          <w:szCs w:val="32"/>
        </w:rPr>
      </w:pPr>
      <w:r w:rsidRPr="00CA160C">
        <w:rPr>
          <w:b/>
          <w:sz w:val="32"/>
          <w:szCs w:val="32"/>
        </w:rPr>
        <w:t xml:space="preserve">A Medicare and Medicaid Integration Project </w:t>
      </w:r>
    </w:p>
    <w:p w14:paraId="1A94B08A" w14:textId="77777777" w:rsidR="00C751AC" w:rsidRPr="00CA160C" w:rsidRDefault="00C751AC" w:rsidP="005D05A2">
      <w:pPr>
        <w:jc w:val="center"/>
        <w:rPr>
          <w:b/>
          <w:sz w:val="32"/>
          <w:szCs w:val="32"/>
        </w:rPr>
      </w:pPr>
      <w:r w:rsidRPr="00CA160C">
        <w:rPr>
          <w:b/>
          <w:sz w:val="32"/>
          <w:szCs w:val="32"/>
        </w:rPr>
        <w:t>(Managed Fee-for-Service Model)</w:t>
      </w:r>
    </w:p>
    <w:p w14:paraId="554555E1" w14:textId="77777777" w:rsidR="006E300B" w:rsidRPr="00CA160C" w:rsidRDefault="006E300B" w:rsidP="005D05A2">
      <w:pPr>
        <w:jc w:val="center"/>
        <w:rPr>
          <w:b/>
          <w:sz w:val="32"/>
          <w:szCs w:val="32"/>
        </w:rPr>
      </w:pPr>
    </w:p>
    <w:p w14:paraId="5FFC77F8" w14:textId="77777777" w:rsidR="00AB5A88" w:rsidRPr="00CA160C" w:rsidRDefault="00AB5A88" w:rsidP="005D05A2">
      <w:pPr>
        <w:jc w:val="center"/>
        <w:rPr>
          <w:b/>
          <w:sz w:val="32"/>
          <w:szCs w:val="32"/>
        </w:rPr>
      </w:pPr>
    </w:p>
    <w:p w14:paraId="77DB8F34" w14:textId="345DCC32" w:rsidR="00C751AC" w:rsidRPr="00517AB9" w:rsidRDefault="006E300B" w:rsidP="005D05A2">
      <w:pPr>
        <w:jc w:val="center"/>
        <w:rPr>
          <w:b/>
          <w:sz w:val="32"/>
          <w:szCs w:val="32"/>
        </w:rPr>
      </w:pPr>
      <w:r w:rsidRPr="007D1296">
        <w:rPr>
          <w:b/>
          <w:sz w:val="32"/>
          <w:szCs w:val="32"/>
        </w:rPr>
        <w:t>Amended</w:t>
      </w:r>
      <w:r w:rsidR="00624044" w:rsidRPr="007D1296">
        <w:rPr>
          <w:b/>
          <w:sz w:val="32"/>
          <w:szCs w:val="32"/>
        </w:rPr>
        <w:t xml:space="preserve"> </w:t>
      </w:r>
      <w:r w:rsidR="007D1296" w:rsidRPr="007D1296">
        <w:rPr>
          <w:b/>
          <w:sz w:val="32"/>
          <w:szCs w:val="32"/>
        </w:rPr>
        <w:t xml:space="preserve">December </w:t>
      </w:r>
      <w:r w:rsidR="007F07D1">
        <w:rPr>
          <w:b/>
          <w:sz w:val="32"/>
          <w:szCs w:val="32"/>
        </w:rPr>
        <w:t>2</w:t>
      </w:r>
      <w:r w:rsidR="007D1296" w:rsidRPr="007D1296">
        <w:rPr>
          <w:b/>
          <w:sz w:val="32"/>
          <w:szCs w:val="32"/>
        </w:rPr>
        <w:t>0</w:t>
      </w:r>
      <w:r w:rsidR="00624044" w:rsidRPr="007D1296">
        <w:rPr>
          <w:b/>
          <w:sz w:val="32"/>
          <w:szCs w:val="32"/>
        </w:rPr>
        <w:t>, 2023</w:t>
      </w:r>
      <w:bookmarkEnd w:id="0"/>
      <w:r w:rsidR="00624044">
        <w:rPr>
          <w:b/>
          <w:sz w:val="32"/>
          <w:szCs w:val="32"/>
        </w:rPr>
        <w:t xml:space="preserve"> </w:t>
      </w:r>
    </w:p>
    <w:p w14:paraId="3D11A72A" w14:textId="77777777" w:rsidR="00C751AC" w:rsidRPr="00517AB9" w:rsidRDefault="00C751AC">
      <w:pPr>
        <w:widowControl/>
        <w:rPr>
          <w:sz w:val="32"/>
          <w:szCs w:val="32"/>
        </w:rPr>
      </w:pPr>
      <w:r w:rsidRPr="00517AB9">
        <w:rPr>
          <w:b/>
          <w:sz w:val="32"/>
          <w:szCs w:val="32"/>
        </w:rPr>
        <w:br w:type="page"/>
      </w:r>
    </w:p>
    <w:p w14:paraId="6946D809" w14:textId="77777777" w:rsidR="00C751AC" w:rsidRPr="00517AB9" w:rsidRDefault="00C751AC" w:rsidP="00B10E93">
      <w:pPr>
        <w:jc w:val="center"/>
        <w:rPr>
          <w:b/>
          <w:iCs/>
          <w:sz w:val="32"/>
          <w:szCs w:val="32"/>
        </w:rPr>
      </w:pPr>
    </w:p>
    <w:p w14:paraId="5DDAD30B" w14:textId="77777777" w:rsidR="00C751AC" w:rsidRPr="00517AB9" w:rsidRDefault="00C751AC" w:rsidP="00B10E93">
      <w:pPr>
        <w:jc w:val="center"/>
        <w:rPr>
          <w:b/>
          <w:sz w:val="32"/>
          <w:szCs w:val="32"/>
        </w:rPr>
        <w:sectPr w:rsidR="00C751AC" w:rsidRPr="00517AB9" w:rsidSect="00291BE0">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720" w:footer="720" w:gutter="0"/>
          <w:cols w:space="720"/>
          <w:vAlign w:val="center"/>
          <w:noEndnote/>
        </w:sectPr>
      </w:pPr>
    </w:p>
    <w:sdt>
      <w:sdtPr>
        <w:rPr>
          <w:rFonts w:ascii="Times New Roman" w:eastAsia="Times New Roman" w:hAnsi="Times New Roman" w:cs="Times New Roman"/>
          <w:b w:val="0"/>
          <w:bCs w:val="0"/>
          <w:color w:val="auto"/>
          <w:sz w:val="24"/>
          <w:szCs w:val="24"/>
          <w:lang w:eastAsia="en-US"/>
        </w:rPr>
        <w:id w:val="1458375687"/>
        <w:docPartObj>
          <w:docPartGallery w:val="Table of Contents"/>
          <w:docPartUnique/>
        </w:docPartObj>
      </w:sdtPr>
      <w:sdtEndPr>
        <w:rPr>
          <w:noProof/>
        </w:rPr>
      </w:sdtEndPr>
      <w:sdtContent>
        <w:p w14:paraId="2EDF3DEA" w14:textId="77777777" w:rsidR="00BE7ABA" w:rsidRPr="00BE7ABA" w:rsidRDefault="00BE7ABA" w:rsidP="00BE7ABA">
          <w:pPr>
            <w:pStyle w:val="TOCHeading"/>
            <w:jc w:val="center"/>
            <w:rPr>
              <w:rFonts w:ascii="Times New Roman" w:hAnsi="Times New Roman" w:cs="Times New Roman"/>
              <w:color w:val="auto"/>
            </w:rPr>
          </w:pPr>
          <w:r w:rsidRPr="00BE7ABA">
            <w:rPr>
              <w:rFonts w:ascii="Times New Roman" w:hAnsi="Times New Roman" w:cs="Times New Roman"/>
              <w:color w:val="auto"/>
            </w:rPr>
            <w:t>TABLE OF CONTENTS</w:t>
          </w:r>
        </w:p>
        <w:p w14:paraId="45570995" w14:textId="0AF03FB0" w:rsidR="00BE7ABA" w:rsidRPr="005B33BB" w:rsidRDefault="00BE7ABA" w:rsidP="005B33BB">
          <w:pPr>
            <w:pStyle w:val="TOC1"/>
            <w:tabs>
              <w:tab w:val="left" w:pos="10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1327527" w:history="1">
            <w:r w:rsidRPr="005B33BB">
              <w:rPr>
                <w:rStyle w:val="Hyperlink"/>
                <w:noProof/>
              </w:rPr>
              <w:t>I.</w:t>
            </w:r>
            <w:r w:rsidRPr="005B33BB">
              <w:rPr>
                <w:rFonts w:asciiTheme="minorHAnsi" w:eastAsiaTheme="minorEastAsia" w:hAnsiTheme="minorHAnsi" w:cstheme="minorBidi"/>
                <w:noProof/>
                <w:sz w:val="22"/>
                <w:szCs w:val="22"/>
              </w:rPr>
              <w:tab/>
            </w:r>
            <w:r w:rsidRPr="005B33BB">
              <w:rPr>
                <w:rStyle w:val="Hyperlink"/>
                <w:noProof/>
              </w:rPr>
              <w:t>Specific Purpose of this Final Demonstration Agreement</w:t>
            </w:r>
            <w:r w:rsidR="00BC3B4C">
              <w:rPr>
                <w:rStyle w:val="Hyperlink"/>
                <w:noProof/>
              </w:rPr>
              <w:t>……………………….</w:t>
            </w:r>
            <w:r w:rsidRPr="005B33BB">
              <w:rPr>
                <w:noProof/>
                <w:webHidden/>
              </w:rPr>
              <w:fldChar w:fldCharType="begin"/>
            </w:r>
            <w:r w:rsidRPr="005B33BB">
              <w:rPr>
                <w:noProof/>
                <w:webHidden/>
              </w:rPr>
              <w:instrText xml:space="preserve"> PAGEREF _Toc521327527 \h </w:instrText>
            </w:r>
            <w:r w:rsidRPr="005B33BB">
              <w:rPr>
                <w:noProof/>
                <w:webHidden/>
              </w:rPr>
            </w:r>
            <w:r w:rsidRPr="005B33BB">
              <w:rPr>
                <w:noProof/>
                <w:webHidden/>
              </w:rPr>
              <w:fldChar w:fldCharType="separate"/>
            </w:r>
            <w:r w:rsidR="00F63639">
              <w:rPr>
                <w:noProof/>
                <w:webHidden/>
              </w:rPr>
              <w:t>3</w:t>
            </w:r>
            <w:r w:rsidRPr="005B33BB">
              <w:rPr>
                <w:noProof/>
                <w:webHidden/>
              </w:rPr>
              <w:fldChar w:fldCharType="end"/>
            </w:r>
          </w:hyperlink>
        </w:p>
        <w:p w14:paraId="37176F39" w14:textId="21E6477D"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28" w:history="1">
            <w:r w:rsidR="00BE7ABA" w:rsidRPr="005B33BB">
              <w:rPr>
                <w:rStyle w:val="Hyperlink"/>
                <w:noProof/>
              </w:rPr>
              <w:t>II.</w:t>
            </w:r>
            <w:r w:rsidR="00BE7ABA" w:rsidRPr="005B33BB">
              <w:rPr>
                <w:rFonts w:eastAsiaTheme="minorEastAsia" w:cstheme="minorBidi"/>
                <w:noProof/>
                <w:sz w:val="22"/>
                <w:szCs w:val="22"/>
              </w:rPr>
              <w:tab/>
            </w:r>
            <w:r w:rsidR="00BE7ABA" w:rsidRPr="005B33BB">
              <w:rPr>
                <w:rStyle w:val="Hyperlink"/>
                <w:noProof/>
              </w:rPr>
              <w:t>Legal Parameters</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_Toc521327528 \h </w:instrText>
            </w:r>
            <w:r w:rsidR="00BE7ABA" w:rsidRPr="005B33BB">
              <w:rPr>
                <w:noProof/>
                <w:webHidden/>
              </w:rPr>
            </w:r>
            <w:r w:rsidR="00BE7ABA" w:rsidRPr="005B33BB">
              <w:rPr>
                <w:noProof/>
                <w:webHidden/>
              </w:rPr>
              <w:fldChar w:fldCharType="separate"/>
            </w:r>
            <w:r w:rsidR="00F63639">
              <w:rPr>
                <w:noProof/>
                <w:webHidden/>
              </w:rPr>
              <w:t>3</w:t>
            </w:r>
            <w:r w:rsidR="00BE7ABA" w:rsidRPr="005B33BB">
              <w:rPr>
                <w:noProof/>
                <w:webHidden/>
              </w:rPr>
              <w:fldChar w:fldCharType="end"/>
            </w:r>
          </w:hyperlink>
        </w:p>
        <w:p w14:paraId="1912AC3C" w14:textId="51BEAE9E"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29" w:history="1">
            <w:r w:rsidR="00BE7ABA" w:rsidRPr="005B33BB">
              <w:rPr>
                <w:rStyle w:val="Hyperlink"/>
                <w:noProof/>
              </w:rPr>
              <w:t>III.</w:t>
            </w:r>
            <w:r w:rsidR="00BE7ABA" w:rsidRPr="005B33BB">
              <w:rPr>
                <w:rFonts w:eastAsiaTheme="minorEastAsia" w:cstheme="minorBidi"/>
                <w:noProof/>
                <w:sz w:val="22"/>
                <w:szCs w:val="22"/>
              </w:rPr>
              <w:tab/>
            </w:r>
            <w:r w:rsidR="00BE7ABA" w:rsidRPr="005B33BB">
              <w:rPr>
                <w:rStyle w:val="Hyperlink"/>
                <w:noProof/>
              </w:rPr>
              <w:t>R</w:t>
            </w:r>
            <w:r w:rsidR="005B33BB">
              <w:rPr>
                <w:rStyle w:val="Hyperlink"/>
                <w:noProof/>
              </w:rPr>
              <w:t>eadiness Re</w:t>
            </w:r>
            <w:r w:rsidR="00BC3B4C">
              <w:rPr>
                <w:rStyle w:val="Hyperlink"/>
                <w:noProof/>
              </w:rPr>
              <w:t>view………………………………………………………………..</w:t>
            </w:r>
            <w:r w:rsidR="00BE7ABA" w:rsidRPr="005B33BB">
              <w:rPr>
                <w:noProof/>
                <w:webHidden/>
              </w:rPr>
              <w:fldChar w:fldCharType="begin"/>
            </w:r>
            <w:r w:rsidR="00BE7ABA" w:rsidRPr="005B33BB">
              <w:rPr>
                <w:noProof/>
                <w:webHidden/>
              </w:rPr>
              <w:instrText xml:space="preserve"> PAGEREF _Toc521327529 \h </w:instrText>
            </w:r>
            <w:r w:rsidR="00BE7ABA" w:rsidRPr="005B33BB">
              <w:rPr>
                <w:noProof/>
                <w:webHidden/>
              </w:rPr>
            </w:r>
            <w:r w:rsidR="00BE7ABA" w:rsidRPr="005B33BB">
              <w:rPr>
                <w:noProof/>
                <w:webHidden/>
              </w:rPr>
              <w:fldChar w:fldCharType="separate"/>
            </w:r>
            <w:r w:rsidR="00F63639">
              <w:rPr>
                <w:noProof/>
                <w:webHidden/>
              </w:rPr>
              <w:t>3</w:t>
            </w:r>
            <w:r w:rsidR="00BE7ABA" w:rsidRPr="005B33BB">
              <w:rPr>
                <w:noProof/>
                <w:webHidden/>
              </w:rPr>
              <w:fldChar w:fldCharType="end"/>
            </w:r>
          </w:hyperlink>
        </w:p>
        <w:p w14:paraId="7C663B0E" w14:textId="255AD031"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30" w:history="1">
            <w:r w:rsidR="00BE7ABA" w:rsidRPr="005B33BB">
              <w:rPr>
                <w:rStyle w:val="Hyperlink"/>
                <w:noProof/>
              </w:rPr>
              <w:t>IV.</w:t>
            </w:r>
            <w:r w:rsidR="00BE7ABA" w:rsidRPr="005B33BB">
              <w:rPr>
                <w:rFonts w:eastAsiaTheme="minorEastAsia" w:cstheme="minorBidi"/>
                <w:noProof/>
                <w:sz w:val="22"/>
                <w:szCs w:val="22"/>
              </w:rPr>
              <w:tab/>
            </w:r>
            <w:r w:rsidR="00BE7ABA" w:rsidRPr="005B33BB">
              <w:rPr>
                <w:rStyle w:val="Hyperlink"/>
                <w:noProof/>
              </w:rPr>
              <w:t>Process and Operational Provisions</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_Toc521327530 \h </w:instrText>
            </w:r>
            <w:r w:rsidR="00BE7ABA" w:rsidRPr="005B33BB">
              <w:rPr>
                <w:noProof/>
                <w:webHidden/>
              </w:rPr>
            </w:r>
            <w:r w:rsidR="00BE7ABA" w:rsidRPr="005B33BB">
              <w:rPr>
                <w:noProof/>
                <w:webHidden/>
              </w:rPr>
              <w:fldChar w:fldCharType="separate"/>
            </w:r>
            <w:r w:rsidR="00F63639">
              <w:rPr>
                <w:noProof/>
                <w:webHidden/>
              </w:rPr>
              <w:t>4</w:t>
            </w:r>
            <w:r w:rsidR="00BE7ABA" w:rsidRPr="005B33BB">
              <w:rPr>
                <w:noProof/>
                <w:webHidden/>
              </w:rPr>
              <w:fldChar w:fldCharType="end"/>
            </w:r>
          </w:hyperlink>
        </w:p>
        <w:p w14:paraId="78F4904D" w14:textId="78891056"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2" w:history="1">
            <w:r w:rsidR="00BE7ABA" w:rsidRPr="005B33BB">
              <w:rPr>
                <w:rStyle w:val="Hyperlink"/>
                <w:noProof/>
              </w:rPr>
              <w:t>IV.A.</w:t>
            </w:r>
            <w:r w:rsidR="00BE7ABA" w:rsidRPr="005B33BB">
              <w:rPr>
                <w:rFonts w:eastAsiaTheme="minorEastAsia" w:cstheme="minorBidi"/>
                <w:noProof/>
                <w:sz w:val="22"/>
                <w:szCs w:val="22"/>
              </w:rPr>
              <w:tab/>
            </w:r>
            <w:r w:rsidR="00BE7ABA" w:rsidRPr="005B33BB">
              <w:rPr>
                <w:rFonts w:eastAsiaTheme="minorEastAsia"/>
                <w:noProof/>
              </w:rPr>
              <w:t>Statement of In</w:t>
            </w:r>
            <w:r w:rsidR="00BC3B4C">
              <w:rPr>
                <w:rFonts w:eastAsiaTheme="minorEastAsia"/>
                <w:noProof/>
              </w:rPr>
              <w:t>itiative…………………………………………………..</w:t>
            </w:r>
            <w:r w:rsidR="00BE7ABA" w:rsidRPr="005B33BB">
              <w:rPr>
                <w:noProof/>
                <w:webHidden/>
              </w:rPr>
              <w:fldChar w:fldCharType="begin"/>
            </w:r>
            <w:r w:rsidR="00BE7ABA" w:rsidRPr="005B33BB">
              <w:rPr>
                <w:noProof/>
                <w:webHidden/>
              </w:rPr>
              <w:instrText xml:space="preserve"> PAGEREF _Toc521327532 \h </w:instrText>
            </w:r>
            <w:r w:rsidR="00BE7ABA" w:rsidRPr="005B33BB">
              <w:rPr>
                <w:noProof/>
                <w:webHidden/>
              </w:rPr>
            </w:r>
            <w:r w:rsidR="00BE7ABA" w:rsidRPr="005B33BB">
              <w:rPr>
                <w:noProof/>
                <w:webHidden/>
              </w:rPr>
              <w:fldChar w:fldCharType="separate"/>
            </w:r>
            <w:r w:rsidR="00F63639">
              <w:rPr>
                <w:noProof/>
                <w:webHidden/>
              </w:rPr>
              <w:t>4</w:t>
            </w:r>
            <w:r w:rsidR="00BE7ABA" w:rsidRPr="005B33BB">
              <w:rPr>
                <w:noProof/>
                <w:webHidden/>
              </w:rPr>
              <w:fldChar w:fldCharType="end"/>
            </w:r>
          </w:hyperlink>
        </w:p>
        <w:p w14:paraId="5950E2DE" w14:textId="0AED36EA"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3" w:history="1">
            <w:r w:rsidR="00BE7ABA" w:rsidRPr="005B33BB">
              <w:rPr>
                <w:rStyle w:val="Hyperlink"/>
                <w:noProof/>
              </w:rPr>
              <w:t>IV.B.</w:t>
            </w:r>
            <w:r w:rsidR="00BE7ABA" w:rsidRPr="005B33BB">
              <w:rPr>
                <w:rFonts w:eastAsiaTheme="minorEastAsia" w:cstheme="minorBidi"/>
                <w:noProof/>
                <w:sz w:val="22"/>
                <w:szCs w:val="22"/>
              </w:rPr>
              <w:tab/>
            </w:r>
            <w:r w:rsidR="00BE7ABA" w:rsidRPr="005B33BB">
              <w:rPr>
                <w:rStyle w:val="Hyperlink"/>
                <w:noProof/>
              </w:rPr>
              <w:t>Specific Purpose of the Memorandum of Understanding</w:t>
            </w:r>
            <w:r w:rsidR="00BC3B4C">
              <w:rPr>
                <w:rStyle w:val="Hyperlink"/>
                <w:noProof/>
              </w:rPr>
              <w:t>……</w:t>
            </w:r>
            <w:r w:rsidR="005B33BB" w:rsidRPr="005B33BB">
              <w:rPr>
                <w:rStyle w:val="Hyperlink"/>
                <w:noProof/>
              </w:rPr>
              <w:t>…………</w:t>
            </w:r>
            <w:r w:rsidR="00BE7ABA" w:rsidRPr="005B33BB">
              <w:rPr>
                <w:noProof/>
                <w:webHidden/>
              </w:rPr>
              <w:fldChar w:fldCharType="begin"/>
            </w:r>
            <w:r w:rsidR="00BE7ABA" w:rsidRPr="005B33BB">
              <w:rPr>
                <w:noProof/>
                <w:webHidden/>
              </w:rPr>
              <w:instrText xml:space="preserve"> PAGEREF _Toc521327533 \h </w:instrText>
            </w:r>
            <w:r w:rsidR="00BE7ABA" w:rsidRPr="005B33BB">
              <w:rPr>
                <w:noProof/>
                <w:webHidden/>
              </w:rPr>
            </w:r>
            <w:r w:rsidR="00BE7ABA" w:rsidRPr="005B33BB">
              <w:rPr>
                <w:noProof/>
                <w:webHidden/>
              </w:rPr>
              <w:fldChar w:fldCharType="separate"/>
            </w:r>
            <w:r w:rsidR="00F63639">
              <w:rPr>
                <w:noProof/>
                <w:webHidden/>
              </w:rPr>
              <w:t>4</w:t>
            </w:r>
            <w:r w:rsidR="00BE7ABA" w:rsidRPr="005B33BB">
              <w:rPr>
                <w:noProof/>
                <w:webHidden/>
              </w:rPr>
              <w:fldChar w:fldCharType="end"/>
            </w:r>
          </w:hyperlink>
        </w:p>
        <w:p w14:paraId="0F1C3319" w14:textId="3A7FC323"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4" w:history="1">
            <w:r w:rsidR="00BE7ABA" w:rsidRPr="005B33BB">
              <w:rPr>
                <w:rStyle w:val="Hyperlink"/>
                <w:noProof/>
              </w:rPr>
              <w:t>IV.C.</w:t>
            </w:r>
            <w:r w:rsidR="00BE7ABA" w:rsidRPr="005B33BB">
              <w:rPr>
                <w:rFonts w:eastAsiaTheme="minorEastAsia" w:cstheme="minorBidi"/>
                <w:noProof/>
                <w:sz w:val="22"/>
                <w:szCs w:val="22"/>
              </w:rPr>
              <w:tab/>
            </w:r>
            <w:r w:rsidR="005B33BB">
              <w:rPr>
                <w:rStyle w:val="Hyperlink"/>
                <w:noProof/>
              </w:rPr>
              <w:t>Program Design/Oper</w:t>
            </w:r>
            <w:r w:rsidR="00BC3B4C">
              <w:rPr>
                <w:rStyle w:val="Hyperlink"/>
                <w:noProof/>
              </w:rPr>
              <w:t>ational Plan………………………………………</w:t>
            </w:r>
            <w:r w:rsidR="00BE7ABA" w:rsidRPr="005B33BB">
              <w:rPr>
                <w:noProof/>
                <w:webHidden/>
              </w:rPr>
              <w:fldChar w:fldCharType="begin"/>
            </w:r>
            <w:r w:rsidR="00BE7ABA" w:rsidRPr="005B33BB">
              <w:rPr>
                <w:noProof/>
                <w:webHidden/>
              </w:rPr>
              <w:instrText xml:space="preserve"> PAGEREF _Toc521327534 \h </w:instrText>
            </w:r>
            <w:r w:rsidR="00BE7ABA" w:rsidRPr="005B33BB">
              <w:rPr>
                <w:noProof/>
                <w:webHidden/>
              </w:rPr>
            </w:r>
            <w:r w:rsidR="00BE7ABA" w:rsidRPr="005B33BB">
              <w:rPr>
                <w:noProof/>
                <w:webHidden/>
              </w:rPr>
              <w:fldChar w:fldCharType="separate"/>
            </w:r>
            <w:r w:rsidR="00F63639">
              <w:rPr>
                <w:noProof/>
                <w:webHidden/>
              </w:rPr>
              <w:t>5</w:t>
            </w:r>
            <w:r w:rsidR="00BE7ABA" w:rsidRPr="005B33BB">
              <w:rPr>
                <w:noProof/>
                <w:webHidden/>
              </w:rPr>
              <w:fldChar w:fldCharType="end"/>
            </w:r>
          </w:hyperlink>
        </w:p>
        <w:p w14:paraId="47E0EE65" w14:textId="03EDF281"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5" w:history="1">
            <w:r w:rsidR="00BE7ABA" w:rsidRPr="005B33BB">
              <w:rPr>
                <w:rStyle w:val="Hyperlink"/>
                <w:noProof/>
              </w:rPr>
              <w:t>IV.D.</w:t>
            </w:r>
            <w:r w:rsidR="00BE7ABA" w:rsidRPr="005B33BB">
              <w:rPr>
                <w:rFonts w:asciiTheme="minorHAnsi" w:eastAsiaTheme="minorEastAsia" w:hAnsiTheme="minorHAnsi" w:cstheme="minorBidi"/>
                <w:noProof/>
                <w:sz w:val="22"/>
                <w:szCs w:val="22"/>
              </w:rPr>
              <w:tab/>
            </w:r>
            <w:r w:rsidR="00BE7ABA" w:rsidRPr="005B33BB">
              <w:rPr>
                <w:rStyle w:val="Hyperlink"/>
                <w:noProof/>
              </w:rPr>
              <w:t>Definitions</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_Toc521327535 \h </w:instrText>
            </w:r>
            <w:r w:rsidR="00BE7ABA" w:rsidRPr="005B33BB">
              <w:rPr>
                <w:noProof/>
                <w:webHidden/>
              </w:rPr>
            </w:r>
            <w:r w:rsidR="00BE7ABA" w:rsidRPr="005B33BB">
              <w:rPr>
                <w:noProof/>
                <w:webHidden/>
              </w:rPr>
              <w:fldChar w:fldCharType="separate"/>
            </w:r>
            <w:r w:rsidR="00F63639">
              <w:rPr>
                <w:noProof/>
                <w:webHidden/>
              </w:rPr>
              <w:t>9</w:t>
            </w:r>
            <w:r w:rsidR="00BE7ABA" w:rsidRPr="005B33BB">
              <w:rPr>
                <w:noProof/>
                <w:webHidden/>
              </w:rPr>
              <w:fldChar w:fldCharType="end"/>
            </w:r>
          </w:hyperlink>
        </w:p>
        <w:p w14:paraId="1B2667E5" w14:textId="40A30B98"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6" w:history="1">
            <w:r w:rsidR="00BE7ABA" w:rsidRPr="005B33BB">
              <w:rPr>
                <w:rStyle w:val="Hyperlink"/>
                <w:noProof/>
              </w:rPr>
              <w:t>IV.E.</w:t>
            </w:r>
            <w:r w:rsidR="00BE7ABA" w:rsidRPr="005B33BB">
              <w:rPr>
                <w:rFonts w:asciiTheme="minorHAnsi" w:eastAsiaTheme="minorEastAsia" w:hAnsiTheme="minorHAnsi" w:cstheme="minorBidi"/>
                <w:noProof/>
                <w:sz w:val="22"/>
                <w:szCs w:val="22"/>
              </w:rPr>
              <w:tab/>
            </w:r>
            <w:r w:rsidR="00BE7ABA" w:rsidRPr="005B33BB">
              <w:rPr>
                <w:rStyle w:val="Hyperlink"/>
                <w:noProof/>
              </w:rPr>
              <w:t>CMS Standards and Conditions and Supporting State Documentation</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_Toc521327536 \h </w:instrText>
            </w:r>
            <w:r w:rsidR="00BE7ABA" w:rsidRPr="005B33BB">
              <w:rPr>
                <w:noProof/>
                <w:webHidden/>
              </w:rPr>
            </w:r>
            <w:r w:rsidR="00BE7ABA" w:rsidRPr="005B33BB">
              <w:rPr>
                <w:noProof/>
                <w:webHidden/>
              </w:rPr>
              <w:fldChar w:fldCharType="separate"/>
            </w:r>
            <w:r w:rsidR="00F63639">
              <w:rPr>
                <w:noProof/>
                <w:webHidden/>
              </w:rPr>
              <w:t>9</w:t>
            </w:r>
            <w:r w:rsidR="00BE7ABA" w:rsidRPr="005B33BB">
              <w:rPr>
                <w:noProof/>
                <w:webHidden/>
              </w:rPr>
              <w:fldChar w:fldCharType="end"/>
            </w:r>
          </w:hyperlink>
        </w:p>
        <w:p w14:paraId="2B6C6F72" w14:textId="2ADBA827"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7" w:history="1">
            <w:r w:rsidR="00BE7ABA" w:rsidRPr="005B33BB">
              <w:rPr>
                <w:rStyle w:val="Hyperlink"/>
                <w:noProof/>
              </w:rPr>
              <w:t>IV.F.</w:t>
            </w:r>
            <w:r w:rsidR="00BE7ABA" w:rsidRPr="005B33BB">
              <w:rPr>
                <w:rFonts w:asciiTheme="minorHAnsi" w:eastAsiaTheme="minorEastAsia" w:hAnsiTheme="minorHAnsi" w:cstheme="minorBidi"/>
                <w:noProof/>
                <w:sz w:val="22"/>
                <w:szCs w:val="22"/>
              </w:rPr>
              <w:tab/>
            </w:r>
            <w:r w:rsidR="00BE7ABA" w:rsidRPr="005B33BB">
              <w:rPr>
                <w:rStyle w:val="Hyperlink"/>
                <w:noProof/>
              </w:rPr>
              <w:t>Details of the State Demonstration Area</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_Toc521327537 \h </w:instrText>
            </w:r>
            <w:r w:rsidR="00BE7ABA" w:rsidRPr="005B33BB">
              <w:rPr>
                <w:noProof/>
                <w:webHidden/>
              </w:rPr>
            </w:r>
            <w:r w:rsidR="00BE7ABA" w:rsidRPr="005B33BB">
              <w:rPr>
                <w:noProof/>
                <w:webHidden/>
              </w:rPr>
              <w:fldChar w:fldCharType="separate"/>
            </w:r>
            <w:r w:rsidR="00F63639">
              <w:rPr>
                <w:noProof/>
                <w:webHidden/>
              </w:rPr>
              <w:t>9</w:t>
            </w:r>
            <w:r w:rsidR="00BE7ABA" w:rsidRPr="005B33BB">
              <w:rPr>
                <w:noProof/>
                <w:webHidden/>
              </w:rPr>
              <w:fldChar w:fldCharType="end"/>
            </w:r>
          </w:hyperlink>
        </w:p>
        <w:p w14:paraId="79FC252D" w14:textId="342B1F06"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8" w:history="1">
            <w:r w:rsidR="00BE7ABA" w:rsidRPr="005B33BB">
              <w:rPr>
                <w:rStyle w:val="Hyperlink"/>
                <w:noProof/>
              </w:rPr>
              <w:t>IV.G.</w:t>
            </w:r>
            <w:r w:rsidR="00BE7ABA" w:rsidRPr="005B33BB">
              <w:rPr>
                <w:rFonts w:asciiTheme="minorHAnsi" w:eastAsiaTheme="minorEastAsia" w:hAnsiTheme="minorHAnsi" w:cstheme="minorBidi"/>
                <w:noProof/>
                <w:sz w:val="22"/>
                <w:szCs w:val="22"/>
              </w:rPr>
              <w:tab/>
            </w:r>
            <w:r w:rsidR="00BE7ABA" w:rsidRPr="005B33BB">
              <w:rPr>
                <w:rStyle w:val="Hyperlink"/>
                <w:noProof/>
              </w:rPr>
              <w:t>Medicare Authorities and Waivers</w:t>
            </w:r>
            <w:r w:rsidR="00BC3B4C">
              <w:rPr>
                <w:rStyle w:val="Hyperlink"/>
                <w:noProof/>
              </w:rPr>
              <w:t>…………………………………...</w:t>
            </w:r>
            <w:r w:rsidR="005B33BB">
              <w:rPr>
                <w:rStyle w:val="Hyperlink"/>
                <w:noProof/>
              </w:rPr>
              <w:t>..</w:t>
            </w:r>
            <w:r w:rsidR="00BE7ABA" w:rsidRPr="005B33BB">
              <w:rPr>
                <w:noProof/>
                <w:webHidden/>
              </w:rPr>
              <w:fldChar w:fldCharType="begin"/>
            </w:r>
            <w:r w:rsidR="00BE7ABA" w:rsidRPr="005B33BB">
              <w:rPr>
                <w:noProof/>
                <w:webHidden/>
              </w:rPr>
              <w:instrText xml:space="preserve"> PAGEREF _Toc521327538 \h </w:instrText>
            </w:r>
            <w:r w:rsidR="00BE7ABA" w:rsidRPr="005B33BB">
              <w:rPr>
                <w:noProof/>
                <w:webHidden/>
              </w:rPr>
            </w:r>
            <w:r w:rsidR="00BE7ABA" w:rsidRPr="005B33BB">
              <w:rPr>
                <w:noProof/>
                <w:webHidden/>
              </w:rPr>
              <w:fldChar w:fldCharType="separate"/>
            </w:r>
            <w:r w:rsidR="00F63639">
              <w:rPr>
                <w:noProof/>
                <w:webHidden/>
              </w:rPr>
              <w:t>11</w:t>
            </w:r>
            <w:r w:rsidR="00BE7ABA" w:rsidRPr="005B33BB">
              <w:rPr>
                <w:noProof/>
                <w:webHidden/>
              </w:rPr>
              <w:fldChar w:fldCharType="end"/>
            </w:r>
          </w:hyperlink>
        </w:p>
        <w:p w14:paraId="592B3B76" w14:textId="160FEE0E"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39" w:history="1">
            <w:r w:rsidR="00BE7ABA" w:rsidRPr="005B33BB">
              <w:rPr>
                <w:rStyle w:val="Hyperlink"/>
                <w:noProof/>
              </w:rPr>
              <w:t>IV.H.</w:t>
            </w:r>
            <w:r w:rsidR="00BE7ABA" w:rsidRPr="005B33BB">
              <w:rPr>
                <w:rFonts w:asciiTheme="minorHAnsi" w:eastAsiaTheme="minorEastAsia" w:hAnsiTheme="minorHAnsi" w:cstheme="minorBidi"/>
                <w:noProof/>
                <w:sz w:val="22"/>
                <w:szCs w:val="22"/>
              </w:rPr>
              <w:tab/>
            </w:r>
            <w:r w:rsidR="00BE7ABA" w:rsidRPr="005B33BB">
              <w:rPr>
                <w:rStyle w:val="Hyperlink"/>
                <w:noProof/>
              </w:rPr>
              <w:t>M</w:t>
            </w:r>
            <w:r w:rsidR="00F53A27" w:rsidRPr="005B33BB">
              <w:rPr>
                <w:rStyle w:val="Hyperlink"/>
                <w:noProof/>
              </w:rPr>
              <w:t>edicaid Authorities and Waivers</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_Toc521327539 \h </w:instrText>
            </w:r>
            <w:r w:rsidR="00BE7ABA" w:rsidRPr="005B33BB">
              <w:rPr>
                <w:noProof/>
                <w:webHidden/>
              </w:rPr>
            </w:r>
            <w:r w:rsidR="00BE7ABA" w:rsidRPr="005B33BB">
              <w:rPr>
                <w:noProof/>
                <w:webHidden/>
              </w:rPr>
              <w:fldChar w:fldCharType="separate"/>
            </w:r>
            <w:r w:rsidR="00F63639">
              <w:rPr>
                <w:noProof/>
                <w:webHidden/>
              </w:rPr>
              <w:t>13</w:t>
            </w:r>
            <w:r w:rsidR="00BE7ABA" w:rsidRPr="005B33BB">
              <w:rPr>
                <w:noProof/>
                <w:webHidden/>
              </w:rPr>
              <w:fldChar w:fldCharType="end"/>
            </w:r>
          </w:hyperlink>
        </w:p>
        <w:p w14:paraId="6A95117B" w14:textId="6FA347A3"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40" w:history="1">
            <w:r w:rsidR="00BE7ABA" w:rsidRPr="005B33BB">
              <w:rPr>
                <w:rStyle w:val="Hyperlink"/>
                <w:noProof/>
              </w:rPr>
              <w:t>IV.I.</w:t>
            </w:r>
            <w:r w:rsidR="00BE7ABA" w:rsidRPr="005B33BB">
              <w:rPr>
                <w:rFonts w:asciiTheme="minorHAnsi" w:eastAsiaTheme="minorEastAsia" w:hAnsiTheme="minorHAnsi" w:cstheme="minorBidi"/>
                <w:noProof/>
                <w:sz w:val="22"/>
                <w:szCs w:val="22"/>
              </w:rPr>
              <w:tab/>
            </w:r>
            <w:r w:rsidR="00F53A27" w:rsidRPr="005B33BB">
              <w:rPr>
                <w:rStyle w:val="Hyperlink"/>
                <w:bCs/>
                <w:noProof/>
              </w:rPr>
              <w:t>Performance Payments to the State</w:t>
            </w:r>
            <w:r w:rsidR="00BC3B4C">
              <w:rPr>
                <w:rStyle w:val="Hyperlink"/>
                <w:bCs/>
                <w:noProof/>
              </w:rPr>
              <w:t>……………………………………</w:t>
            </w:r>
            <w:r w:rsidR="00BE7ABA" w:rsidRPr="005B33BB">
              <w:rPr>
                <w:noProof/>
                <w:webHidden/>
              </w:rPr>
              <w:fldChar w:fldCharType="begin"/>
            </w:r>
            <w:r w:rsidR="00BE7ABA" w:rsidRPr="005B33BB">
              <w:rPr>
                <w:noProof/>
                <w:webHidden/>
              </w:rPr>
              <w:instrText xml:space="preserve"> PAGEREF _Toc521327540 \h </w:instrText>
            </w:r>
            <w:r w:rsidR="00BE7ABA" w:rsidRPr="005B33BB">
              <w:rPr>
                <w:noProof/>
                <w:webHidden/>
              </w:rPr>
            </w:r>
            <w:r w:rsidR="00BE7ABA" w:rsidRPr="005B33BB">
              <w:rPr>
                <w:noProof/>
                <w:webHidden/>
              </w:rPr>
              <w:fldChar w:fldCharType="separate"/>
            </w:r>
            <w:r w:rsidR="00F63639">
              <w:rPr>
                <w:noProof/>
                <w:webHidden/>
              </w:rPr>
              <w:t>14</w:t>
            </w:r>
            <w:r w:rsidR="00BE7ABA" w:rsidRPr="005B33BB">
              <w:rPr>
                <w:noProof/>
                <w:webHidden/>
              </w:rPr>
              <w:fldChar w:fldCharType="end"/>
            </w:r>
          </w:hyperlink>
        </w:p>
        <w:p w14:paraId="73CC7FEF" w14:textId="1FD08345" w:rsidR="00BE7ABA" w:rsidRPr="005B33BB" w:rsidRDefault="00000000" w:rsidP="005B33BB">
          <w:pPr>
            <w:pStyle w:val="TOC2"/>
            <w:tabs>
              <w:tab w:val="left" w:pos="1540"/>
            </w:tabs>
            <w:rPr>
              <w:rFonts w:asciiTheme="minorHAnsi" w:eastAsiaTheme="minorEastAsia" w:hAnsiTheme="minorHAnsi" w:cstheme="minorBidi"/>
              <w:noProof/>
              <w:sz w:val="22"/>
              <w:szCs w:val="22"/>
            </w:rPr>
          </w:pPr>
          <w:hyperlink w:anchor="_Toc521327541" w:history="1">
            <w:r w:rsidR="00BE7ABA" w:rsidRPr="005B33BB">
              <w:rPr>
                <w:rStyle w:val="Hyperlink"/>
                <w:noProof/>
              </w:rPr>
              <w:t>IV.J.</w:t>
            </w:r>
            <w:r w:rsidR="00BE7ABA" w:rsidRPr="005B33BB">
              <w:rPr>
                <w:rFonts w:asciiTheme="minorHAnsi" w:eastAsiaTheme="minorEastAsia" w:hAnsiTheme="minorHAnsi" w:cstheme="minorBidi"/>
                <w:noProof/>
                <w:sz w:val="22"/>
                <w:szCs w:val="22"/>
              </w:rPr>
              <w:tab/>
            </w:r>
            <w:r w:rsidR="00F53A27" w:rsidRPr="005B33BB">
              <w:rPr>
                <w:rStyle w:val="Hyperlink"/>
                <w:noProof/>
              </w:rPr>
              <w:t>Demons</w:t>
            </w:r>
            <w:r w:rsidR="005B33BB">
              <w:rPr>
                <w:rStyle w:val="Hyperlink"/>
                <w:noProof/>
              </w:rPr>
              <w:t>tration P</w:t>
            </w:r>
            <w:r w:rsidR="00BC3B4C">
              <w:rPr>
                <w:rStyle w:val="Hyperlink"/>
                <w:noProof/>
              </w:rPr>
              <w:t>arameters…………………………………………….</w:t>
            </w:r>
            <w:r w:rsidR="00BE7ABA" w:rsidRPr="005B33BB">
              <w:rPr>
                <w:noProof/>
                <w:webHidden/>
              </w:rPr>
              <w:fldChar w:fldCharType="begin"/>
            </w:r>
            <w:r w:rsidR="00BE7ABA" w:rsidRPr="005B33BB">
              <w:rPr>
                <w:noProof/>
                <w:webHidden/>
              </w:rPr>
              <w:instrText xml:space="preserve"> PAGEREF _Toc521327541 \h </w:instrText>
            </w:r>
            <w:r w:rsidR="00BE7ABA" w:rsidRPr="005B33BB">
              <w:rPr>
                <w:noProof/>
                <w:webHidden/>
              </w:rPr>
            </w:r>
            <w:r w:rsidR="00BE7ABA" w:rsidRPr="005B33BB">
              <w:rPr>
                <w:noProof/>
                <w:webHidden/>
              </w:rPr>
              <w:fldChar w:fldCharType="separate"/>
            </w:r>
            <w:r w:rsidR="00F63639">
              <w:rPr>
                <w:noProof/>
                <w:webHidden/>
              </w:rPr>
              <w:t>24</w:t>
            </w:r>
            <w:r w:rsidR="00BE7ABA" w:rsidRPr="005B33BB">
              <w:rPr>
                <w:noProof/>
                <w:webHidden/>
              </w:rPr>
              <w:fldChar w:fldCharType="end"/>
            </w:r>
          </w:hyperlink>
        </w:p>
        <w:p w14:paraId="0754F561" w14:textId="77264D2D"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42" w:history="1">
            <w:r w:rsidR="00BE7ABA" w:rsidRPr="005B33BB">
              <w:rPr>
                <w:rStyle w:val="Hyperlink"/>
                <w:noProof/>
              </w:rPr>
              <w:t>V.</w:t>
            </w:r>
            <w:r w:rsidR="00BE7ABA" w:rsidRPr="005B33BB">
              <w:rPr>
                <w:rFonts w:asciiTheme="minorHAnsi" w:eastAsiaTheme="minorEastAsia" w:hAnsiTheme="minorHAnsi" w:cstheme="minorBidi"/>
                <w:noProof/>
                <w:sz w:val="22"/>
                <w:szCs w:val="22"/>
              </w:rPr>
              <w:tab/>
            </w:r>
            <w:r w:rsidR="00BE7ABA" w:rsidRPr="005B33BB">
              <w:rPr>
                <w:rStyle w:val="Hyperlink"/>
                <w:noProof/>
              </w:rPr>
              <w:t>E</w:t>
            </w:r>
            <w:r w:rsidR="00F53A27" w:rsidRPr="005B33BB">
              <w:rPr>
                <w:rStyle w:val="Hyperlink"/>
                <w:noProof/>
              </w:rPr>
              <w:t>xtension of the Final Demonst</w:t>
            </w:r>
            <w:r w:rsidR="00BC3B4C">
              <w:rPr>
                <w:rStyle w:val="Hyperlink"/>
                <w:noProof/>
              </w:rPr>
              <w:t>ration Agreement……………………………..</w:t>
            </w:r>
            <w:r w:rsidR="00BE7ABA" w:rsidRPr="005B33BB">
              <w:rPr>
                <w:noProof/>
                <w:webHidden/>
              </w:rPr>
              <w:fldChar w:fldCharType="begin"/>
            </w:r>
            <w:r w:rsidR="00BE7ABA" w:rsidRPr="005B33BB">
              <w:rPr>
                <w:noProof/>
                <w:webHidden/>
              </w:rPr>
              <w:instrText xml:space="preserve"> PAGEREF _Toc521327542 \h </w:instrText>
            </w:r>
            <w:r w:rsidR="00BE7ABA" w:rsidRPr="005B33BB">
              <w:rPr>
                <w:noProof/>
                <w:webHidden/>
              </w:rPr>
            </w:r>
            <w:r w:rsidR="00BE7ABA" w:rsidRPr="005B33BB">
              <w:rPr>
                <w:noProof/>
                <w:webHidden/>
              </w:rPr>
              <w:fldChar w:fldCharType="separate"/>
            </w:r>
            <w:r w:rsidR="00F63639">
              <w:rPr>
                <w:noProof/>
                <w:webHidden/>
              </w:rPr>
              <w:t>47</w:t>
            </w:r>
            <w:r w:rsidR="00BE7ABA" w:rsidRPr="005B33BB">
              <w:rPr>
                <w:noProof/>
                <w:webHidden/>
              </w:rPr>
              <w:fldChar w:fldCharType="end"/>
            </w:r>
          </w:hyperlink>
        </w:p>
        <w:p w14:paraId="61563FF6" w14:textId="0705F4C0"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43" w:history="1">
            <w:r w:rsidR="00BE7ABA" w:rsidRPr="005B33BB">
              <w:rPr>
                <w:rStyle w:val="Hyperlink"/>
                <w:noProof/>
              </w:rPr>
              <w:t>VI.</w:t>
            </w:r>
            <w:r w:rsidR="00BE7ABA" w:rsidRPr="005B33BB">
              <w:rPr>
                <w:rFonts w:asciiTheme="minorHAnsi" w:eastAsiaTheme="minorEastAsia" w:hAnsiTheme="minorHAnsi" w:cstheme="minorBidi"/>
                <w:noProof/>
                <w:sz w:val="22"/>
                <w:szCs w:val="22"/>
              </w:rPr>
              <w:tab/>
            </w:r>
            <w:r w:rsidR="00BE7ABA" w:rsidRPr="005B33BB">
              <w:rPr>
                <w:rStyle w:val="Hyperlink"/>
                <w:noProof/>
              </w:rPr>
              <w:t>M</w:t>
            </w:r>
            <w:r w:rsidR="00F53A27" w:rsidRPr="005B33BB">
              <w:rPr>
                <w:rStyle w:val="Hyperlink"/>
                <w:noProof/>
              </w:rPr>
              <w:t>odification or Termination of Final Demonstration Agree</w:t>
            </w:r>
            <w:r w:rsidR="00BC3B4C">
              <w:rPr>
                <w:rStyle w:val="Hyperlink"/>
                <w:noProof/>
              </w:rPr>
              <w:t>ment……………..</w:t>
            </w:r>
            <w:r w:rsidR="00BE7ABA" w:rsidRPr="005B33BB">
              <w:rPr>
                <w:noProof/>
                <w:webHidden/>
              </w:rPr>
              <w:fldChar w:fldCharType="begin"/>
            </w:r>
            <w:r w:rsidR="00BE7ABA" w:rsidRPr="005B33BB">
              <w:rPr>
                <w:noProof/>
                <w:webHidden/>
              </w:rPr>
              <w:instrText xml:space="preserve"> PAGEREF _Toc521327543 \h </w:instrText>
            </w:r>
            <w:r w:rsidR="00BE7ABA" w:rsidRPr="005B33BB">
              <w:rPr>
                <w:noProof/>
                <w:webHidden/>
              </w:rPr>
            </w:r>
            <w:r w:rsidR="00BE7ABA" w:rsidRPr="005B33BB">
              <w:rPr>
                <w:noProof/>
                <w:webHidden/>
              </w:rPr>
              <w:fldChar w:fldCharType="separate"/>
            </w:r>
            <w:r w:rsidR="00F63639">
              <w:rPr>
                <w:noProof/>
                <w:webHidden/>
              </w:rPr>
              <w:t>47</w:t>
            </w:r>
            <w:r w:rsidR="00BE7ABA" w:rsidRPr="005B33BB">
              <w:rPr>
                <w:noProof/>
                <w:webHidden/>
              </w:rPr>
              <w:fldChar w:fldCharType="end"/>
            </w:r>
          </w:hyperlink>
        </w:p>
        <w:p w14:paraId="44E0A346" w14:textId="543819BB" w:rsidR="00BE7ABA" w:rsidRPr="005B33BB" w:rsidRDefault="00000000" w:rsidP="005B33BB">
          <w:pPr>
            <w:pStyle w:val="TOC1"/>
            <w:tabs>
              <w:tab w:val="left" w:pos="1080"/>
            </w:tabs>
            <w:rPr>
              <w:rFonts w:asciiTheme="minorHAnsi" w:eastAsiaTheme="minorEastAsia" w:hAnsiTheme="minorHAnsi" w:cstheme="minorBidi"/>
              <w:noProof/>
              <w:sz w:val="22"/>
              <w:szCs w:val="22"/>
            </w:rPr>
          </w:pPr>
          <w:hyperlink w:anchor="_Toc521327544" w:history="1">
            <w:r w:rsidR="00BE7ABA" w:rsidRPr="005B33BB">
              <w:rPr>
                <w:rStyle w:val="Hyperlink"/>
                <w:noProof/>
              </w:rPr>
              <w:t>VII.</w:t>
            </w:r>
            <w:r w:rsidR="00BE7ABA" w:rsidRPr="005B33BB">
              <w:rPr>
                <w:rFonts w:asciiTheme="minorHAnsi" w:eastAsiaTheme="minorEastAsia" w:hAnsiTheme="minorHAnsi" w:cstheme="minorBidi"/>
                <w:noProof/>
                <w:sz w:val="22"/>
                <w:szCs w:val="22"/>
              </w:rPr>
              <w:tab/>
            </w:r>
            <w:r w:rsidR="00BE7ABA" w:rsidRPr="005B33BB">
              <w:rPr>
                <w:rStyle w:val="Hyperlink"/>
                <w:noProof/>
              </w:rPr>
              <w:t>S</w:t>
            </w:r>
            <w:r w:rsidR="00F53A27" w:rsidRPr="005B33BB">
              <w:rPr>
                <w:rStyle w:val="Hyperlink"/>
                <w:noProof/>
              </w:rPr>
              <w:t xml:space="preserve">tandard </w:t>
            </w:r>
            <w:r w:rsidR="005B33BB">
              <w:rPr>
                <w:rStyle w:val="Hyperlink"/>
                <w:noProof/>
              </w:rPr>
              <w:t xml:space="preserve">CMS Terms and </w:t>
            </w:r>
            <w:r w:rsidR="00BC3B4C">
              <w:rPr>
                <w:rStyle w:val="Hyperlink"/>
                <w:noProof/>
              </w:rPr>
              <w:t>Conditions………………………………………….</w:t>
            </w:r>
            <w:r w:rsidR="00BE7ABA" w:rsidRPr="005B33BB">
              <w:rPr>
                <w:noProof/>
                <w:webHidden/>
              </w:rPr>
              <w:fldChar w:fldCharType="begin"/>
            </w:r>
            <w:r w:rsidR="00BE7ABA" w:rsidRPr="005B33BB">
              <w:rPr>
                <w:noProof/>
                <w:webHidden/>
              </w:rPr>
              <w:instrText xml:space="preserve"> PAGEREF _Toc521327544 \h </w:instrText>
            </w:r>
            <w:r w:rsidR="00BE7ABA" w:rsidRPr="005B33BB">
              <w:rPr>
                <w:noProof/>
                <w:webHidden/>
              </w:rPr>
            </w:r>
            <w:r w:rsidR="00BE7ABA" w:rsidRPr="005B33BB">
              <w:rPr>
                <w:noProof/>
                <w:webHidden/>
              </w:rPr>
              <w:fldChar w:fldCharType="separate"/>
            </w:r>
            <w:r w:rsidR="00F63639">
              <w:rPr>
                <w:noProof/>
                <w:webHidden/>
              </w:rPr>
              <w:t>51</w:t>
            </w:r>
            <w:r w:rsidR="00BE7ABA" w:rsidRPr="005B33BB">
              <w:rPr>
                <w:noProof/>
                <w:webHidden/>
              </w:rPr>
              <w:fldChar w:fldCharType="end"/>
            </w:r>
          </w:hyperlink>
        </w:p>
        <w:p w14:paraId="78E48546" w14:textId="2CA80D7B" w:rsidR="00BE7ABA" w:rsidRPr="00BE7ABA" w:rsidRDefault="00000000" w:rsidP="005B33BB">
          <w:pPr>
            <w:pStyle w:val="TOC1"/>
            <w:tabs>
              <w:tab w:val="left" w:pos="1080"/>
            </w:tabs>
            <w:rPr>
              <w:rFonts w:asciiTheme="minorHAnsi" w:eastAsiaTheme="minorEastAsia" w:hAnsiTheme="minorHAnsi" w:cstheme="minorBidi"/>
              <w:b/>
              <w:noProof/>
              <w:sz w:val="22"/>
              <w:szCs w:val="22"/>
            </w:rPr>
          </w:pPr>
          <w:hyperlink w:anchor="_Toc521327545" w:history="1">
            <w:r w:rsidR="00BE7ABA" w:rsidRPr="005B33BB">
              <w:rPr>
                <w:rStyle w:val="Hyperlink"/>
                <w:noProof/>
              </w:rPr>
              <w:t>VIII.</w:t>
            </w:r>
            <w:r w:rsidR="00BE7ABA" w:rsidRPr="005B33BB">
              <w:rPr>
                <w:rFonts w:asciiTheme="minorHAnsi" w:eastAsiaTheme="minorEastAsia" w:hAnsiTheme="minorHAnsi" w:cstheme="minorBidi"/>
                <w:noProof/>
                <w:sz w:val="22"/>
                <w:szCs w:val="22"/>
              </w:rPr>
              <w:tab/>
            </w:r>
            <w:r w:rsidR="00BE7ABA" w:rsidRPr="005B33BB">
              <w:rPr>
                <w:rStyle w:val="Hyperlink"/>
                <w:noProof/>
              </w:rPr>
              <w:t>S</w:t>
            </w:r>
            <w:r w:rsidR="005B33BB">
              <w:rPr>
                <w:rStyle w:val="Hyperlink"/>
                <w:noProof/>
              </w:rPr>
              <w:t>ign</w:t>
            </w:r>
            <w:r w:rsidR="00BC3B4C">
              <w:rPr>
                <w:rStyle w:val="Hyperlink"/>
                <w:noProof/>
              </w:rPr>
              <w:t>atures…………………………………………………………</w:t>
            </w:r>
            <w:r w:rsidR="005B33BB">
              <w:rPr>
                <w:rStyle w:val="Hyperlink"/>
                <w:noProof/>
              </w:rPr>
              <w:t>…………...</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_Toc521327545 \h </w:instrText>
            </w:r>
            <w:r w:rsidR="00BE7ABA" w:rsidRPr="005B33BB">
              <w:rPr>
                <w:noProof/>
                <w:webHidden/>
              </w:rPr>
            </w:r>
            <w:r w:rsidR="00BE7ABA" w:rsidRPr="005B33BB">
              <w:rPr>
                <w:noProof/>
                <w:webHidden/>
              </w:rPr>
              <w:fldChar w:fldCharType="separate"/>
            </w:r>
            <w:r w:rsidR="00F63639">
              <w:rPr>
                <w:noProof/>
                <w:webHidden/>
              </w:rPr>
              <w:t>52</w:t>
            </w:r>
            <w:r w:rsidR="00BE7ABA" w:rsidRPr="005B33BB">
              <w:rPr>
                <w:noProof/>
                <w:webHidden/>
              </w:rPr>
              <w:fldChar w:fldCharType="end"/>
            </w:r>
          </w:hyperlink>
        </w:p>
        <w:p w14:paraId="71D9CE41" w14:textId="505E38C8" w:rsidR="00BE7ABA" w:rsidRPr="005B33BB" w:rsidRDefault="00000000" w:rsidP="005B33BB">
          <w:pPr>
            <w:pStyle w:val="TOC1"/>
            <w:rPr>
              <w:rFonts w:asciiTheme="minorHAnsi" w:eastAsiaTheme="minorEastAsia" w:hAnsiTheme="minorHAnsi" w:cstheme="minorBidi"/>
              <w:noProof/>
              <w:sz w:val="22"/>
              <w:szCs w:val="22"/>
            </w:rPr>
          </w:pPr>
          <w:hyperlink w:anchor="_Toc521327546" w:history="1">
            <w:r w:rsidR="00BE7ABA" w:rsidRPr="005B33BB">
              <w:rPr>
                <w:rStyle w:val="Hyperlink"/>
                <w:noProof/>
              </w:rPr>
              <w:t>Appendix A – Calculation of Retrospective Performance Payment</w:t>
            </w:r>
            <w:r w:rsidR="00BC3B4C">
              <w:rPr>
                <w:rStyle w:val="Hyperlink"/>
                <w:noProof/>
              </w:rPr>
              <w:t>……………………</w:t>
            </w:r>
            <w:r w:rsidR="00BE7ABA" w:rsidRPr="005B33BB">
              <w:rPr>
                <w:noProof/>
                <w:webHidden/>
              </w:rPr>
              <w:fldChar w:fldCharType="begin"/>
            </w:r>
            <w:r w:rsidR="00BE7ABA" w:rsidRPr="005B33BB">
              <w:rPr>
                <w:noProof/>
                <w:webHidden/>
              </w:rPr>
              <w:instrText xml:space="preserve"> PAGEREF _Toc521327546 \h </w:instrText>
            </w:r>
            <w:r w:rsidR="00BE7ABA" w:rsidRPr="005B33BB">
              <w:rPr>
                <w:noProof/>
                <w:webHidden/>
              </w:rPr>
            </w:r>
            <w:r w:rsidR="00BE7ABA" w:rsidRPr="005B33BB">
              <w:rPr>
                <w:noProof/>
                <w:webHidden/>
              </w:rPr>
              <w:fldChar w:fldCharType="separate"/>
            </w:r>
            <w:r w:rsidR="00F63639">
              <w:rPr>
                <w:noProof/>
                <w:webHidden/>
              </w:rPr>
              <w:t>53</w:t>
            </w:r>
            <w:r w:rsidR="00BE7ABA" w:rsidRPr="005B33BB">
              <w:rPr>
                <w:noProof/>
                <w:webHidden/>
              </w:rPr>
              <w:fldChar w:fldCharType="end"/>
            </w:r>
          </w:hyperlink>
        </w:p>
        <w:p w14:paraId="4BCA8F52" w14:textId="77777777" w:rsidR="00BE7ABA" w:rsidRPr="00BE7ABA" w:rsidRDefault="00BE7ABA" w:rsidP="005B33BB">
          <w:pPr>
            <w:pStyle w:val="TOC1"/>
            <w:jc w:val="right"/>
            <w:rPr>
              <w:rFonts w:asciiTheme="minorHAnsi" w:eastAsiaTheme="minorEastAsia" w:hAnsiTheme="minorHAnsi" w:cstheme="minorBidi"/>
              <w:b/>
              <w:noProof/>
              <w:sz w:val="22"/>
              <w:szCs w:val="22"/>
            </w:rPr>
          </w:pPr>
        </w:p>
        <w:p w14:paraId="34E9126F" w14:textId="77777777" w:rsidR="00BE7ABA" w:rsidRDefault="00BE7ABA" w:rsidP="005B33BB">
          <w:pPr>
            <w:jc w:val="right"/>
          </w:pPr>
          <w:r>
            <w:rPr>
              <w:b/>
              <w:bCs/>
              <w:noProof/>
            </w:rPr>
            <w:fldChar w:fldCharType="end"/>
          </w:r>
        </w:p>
      </w:sdtContent>
    </w:sdt>
    <w:p w14:paraId="6C74F766" w14:textId="77777777" w:rsidR="00353FD3" w:rsidRPr="00517AB9" w:rsidRDefault="00353FD3">
      <w:pPr>
        <w:widowControl/>
      </w:pPr>
      <w:r w:rsidRPr="00517AB9">
        <w:br w:type="page"/>
      </w:r>
    </w:p>
    <w:p w14:paraId="5E440468" w14:textId="77777777" w:rsidR="00B26C1B" w:rsidRPr="00BE7ABA" w:rsidRDefault="0038561A" w:rsidP="00BE7ABA">
      <w:pPr>
        <w:pStyle w:val="BodyText2"/>
        <w:numPr>
          <w:ilvl w:val="0"/>
          <w:numId w:val="36"/>
        </w:numPr>
        <w:spacing w:after="480" w:line="360" w:lineRule="auto"/>
        <w:ind w:left="547" w:hanging="547"/>
        <w:outlineLvl w:val="0"/>
        <w:rPr>
          <w:b/>
          <w:sz w:val="24"/>
          <w:szCs w:val="24"/>
        </w:rPr>
      </w:pPr>
      <w:bookmarkStart w:id="1" w:name="_Toc521327527"/>
      <w:r w:rsidRPr="00BE7ABA">
        <w:rPr>
          <w:b/>
          <w:sz w:val="24"/>
          <w:szCs w:val="24"/>
        </w:rPr>
        <w:lastRenderedPageBreak/>
        <w:t>SPECIFIC PURPOSE OF THIS FINAL DEMONSTRATION AGREEMENT</w:t>
      </w:r>
      <w:bookmarkEnd w:id="1"/>
    </w:p>
    <w:p w14:paraId="7269E976" w14:textId="7CE1C6B2" w:rsidR="00365241" w:rsidRPr="007D1296" w:rsidRDefault="00365241" w:rsidP="00365241">
      <w:pPr>
        <w:pStyle w:val="BodyText2"/>
        <w:spacing w:after="480" w:line="360" w:lineRule="auto"/>
        <w:rPr>
          <w:sz w:val="24"/>
          <w:szCs w:val="24"/>
        </w:rPr>
      </w:pPr>
      <w:r w:rsidRPr="00517AB9">
        <w:rPr>
          <w:sz w:val="24"/>
          <w:szCs w:val="24"/>
        </w:rPr>
        <w:t xml:space="preserve">The purpose of this Final Demonstration Agreement (Agreement) is to provide the terms and conditions for the implementation of HealthPathWashington: A Medicare and Medicaid Integration Project, Managed Fee-for-Service Model (Demonstration), first established in the </w:t>
      </w:r>
      <w:r w:rsidRPr="00B015F5">
        <w:rPr>
          <w:sz w:val="24"/>
          <w:szCs w:val="24"/>
        </w:rPr>
        <w:t>Memorandum of Understanding (MOU) signed on October 24, 2012</w:t>
      </w:r>
      <w:r w:rsidR="00F46B6F" w:rsidRPr="00B015F5">
        <w:rPr>
          <w:sz w:val="24"/>
          <w:szCs w:val="24"/>
        </w:rPr>
        <w:t xml:space="preserve">. </w:t>
      </w:r>
      <w:r w:rsidRPr="00B015F5">
        <w:rPr>
          <w:sz w:val="24"/>
          <w:szCs w:val="24"/>
        </w:rPr>
        <w:t>All provisions of the MOU are incorporated by reference into this Agreement unless otherwise specified or unless this Agreement includes provisions that are inconsistent with the MOU</w:t>
      </w:r>
      <w:r w:rsidR="00F46B6F" w:rsidRPr="00B015F5">
        <w:rPr>
          <w:sz w:val="24"/>
          <w:szCs w:val="24"/>
        </w:rPr>
        <w:t xml:space="preserve">. </w:t>
      </w:r>
      <w:r w:rsidRPr="00B015F5">
        <w:rPr>
          <w:sz w:val="24"/>
          <w:szCs w:val="24"/>
        </w:rPr>
        <w:t xml:space="preserve">Any provision in this Agreement that is inconsistent with or in conflict </w:t>
      </w:r>
      <w:r w:rsidRPr="007D1296">
        <w:rPr>
          <w:sz w:val="24"/>
          <w:szCs w:val="24"/>
        </w:rPr>
        <w:t xml:space="preserve">with a provision of the MOU will supersede such MOU provision. </w:t>
      </w:r>
    </w:p>
    <w:p w14:paraId="642E5258" w14:textId="0404E71B" w:rsidR="00365241" w:rsidRPr="00517AB9" w:rsidRDefault="00365241" w:rsidP="00365241">
      <w:pPr>
        <w:pStyle w:val="BodyText2"/>
        <w:spacing w:after="480" w:line="360" w:lineRule="auto"/>
        <w:rPr>
          <w:sz w:val="24"/>
          <w:szCs w:val="24"/>
        </w:rPr>
      </w:pPr>
      <w:r w:rsidRPr="007D1296">
        <w:rPr>
          <w:sz w:val="24"/>
          <w:szCs w:val="24"/>
        </w:rPr>
        <w:t>This Final Demonstration Agreement, effective July 1, 2013</w:t>
      </w:r>
      <w:r w:rsidR="00F14B26" w:rsidRPr="007D1296">
        <w:rPr>
          <w:sz w:val="24"/>
          <w:szCs w:val="24"/>
        </w:rPr>
        <w:t>,</w:t>
      </w:r>
      <w:r w:rsidRPr="007D1296">
        <w:rPr>
          <w:sz w:val="24"/>
          <w:szCs w:val="24"/>
        </w:rPr>
        <w:t xml:space="preserve"> is hereby amended effective</w:t>
      </w:r>
      <w:r w:rsidR="00EF27D2" w:rsidRPr="007D1296">
        <w:rPr>
          <w:sz w:val="24"/>
          <w:szCs w:val="24"/>
        </w:rPr>
        <w:t xml:space="preserve"> </w:t>
      </w:r>
      <w:r w:rsidR="007D1296" w:rsidRPr="007D1296">
        <w:rPr>
          <w:sz w:val="24"/>
          <w:szCs w:val="24"/>
        </w:rPr>
        <w:t xml:space="preserve">December </w:t>
      </w:r>
      <w:r w:rsidR="007F07D1">
        <w:rPr>
          <w:sz w:val="24"/>
          <w:szCs w:val="24"/>
        </w:rPr>
        <w:t>2</w:t>
      </w:r>
      <w:r w:rsidR="007D1296" w:rsidRPr="007D1296">
        <w:rPr>
          <w:sz w:val="24"/>
          <w:szCs w:val="24"/>
        </w:rPr>
        <w:t>0</w:t>
      </w:r>
      <w:r w:rsidR="00624044" w:rsidRPr="007D1296">
        <w:rPr>
          <w:sz w:val="24"/>
          <w:szCs w:val="24"/>
        </w:rPr>
        <w:t>, 2023</w:t>
      </w:r>
      <w:r w:rsidR="00473C69" w:rsidRPr="007D1296">
        <w:rPr>
          <w:sz w:val="24"/>
          <w:szCs w:val="24"/>
        </w:rPr>
        <w:t>.</w:t>
      </w:r>
      <w:r w:rsidRPr="007D1296">
        <w:rPr>
          <w:sz w:val="24"/>
          <w:szCs w:val="24"/>
        </w:rPr>
        <w:t xml:space="preserve"> </w:t>
      </w:r>
    </w:p>
    <w:p w14:paraId="6019EB2F" w14:textId="77777777" w:rsidR="00365241" w:rsidRPr="00F53A27" w:rsidRDefault="00365241" w:rsidP="00365241">
      <w:pPr>
        <w:pStyle w:val="BodyText2"/>
        <w:spacing w:after="480" w:line="360" w:lineRule="auto"/>
        <w:rPr>
          <w:sz w:val="24"/>
          <w:szCs w:val="24"/>
        </w:rPr>
      </w:pPr>
      <w:r w:rsidRPr="00517AB9">
        <w:rPr>
          <w:sz w:val="24"/>
          <w:szCs w:val="24"/>
        </w:rPr>
        <w:t>Beneficiary needs and experiences, including the ability to self-direct care, be involved in one’s care, and live independently in the community, are central to this Demonstration. Key objectives of the Demonstration are to improve beneficiary experience in accessing care, promote person-centered health action planning, promote independence in the community, improve quality of care, assist beneficiaries in getting the right care at the right time and place, reduce health disparities, improve transitions among care settings, and achieve cost savings for the State and the Federal government through improvements in h</w:t>
      </w:r>
      <w:r w:rsidR="00F53A27">
        <w:rPr>
          <w:sz w:val="24"/>
          <w:szCs w:val="24"/>
        </w:rPr>
        <w:t xml:space="preserve">ealth and functional outcomes. </w:t>
      </w:r>
    </w:p>
    <w:p w14:paraId="5D605585"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2" w:name="_Toc521327528"/>
      <w:r>
        <w:rPr>
          <w:rFonts w:ascii="Times New Roman Bold" w:hAnsi="Times New Roman Bold"/>
          <w:b/>
          <w:sz w:val="24"/>
          <w:szCs w:val="24"/>
        </w:rPr>
        <w:t>LEGAL PARAMETERS</w:t>
      </w:r>
      <w:bookmarkEnd w:id="2"/>
    </w:p>
    <w:p w14:paraId="53BDBB4A" w14:textId="53A5FBFB" w:rsidR="00365241" w:rsidRPr="00517AB9" w:rsidRDefault="00365241" w:rsidP="00365241">
      <w:pPr>
        <w:tabs>
          <w:tab w:val="left" w:pos="0"/>
        </w:tabs>
        <w:spacing w:after="480"/>
      </w:pPr>
      <w:bookmarkStart w:id="3" w:name="_Toc333401672"/>
      <w:r w:rsidRPr="00517AB9">
        <w:t>The parties agree to be bound to the terms and conditions of this Agreement</w:t>
      </w:r>
      <w:bookmarkEnd w:id="3"/>
      <w:r w:rsidR="00F46B6F" w:rsidRPr="00517AB9">
        <w:t xml:space="preserve">. </w:t>
      </w:r>
    </w:p>
    <w:p w14:paraId="30C6D5E8"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4" w:name="_Toc521327529"/>
      <w:r>
        <w:rPr>
          <w:rFonts w:ascii="Times New Roman Bold" w:hAnsi="Times New Roman Bold"/>
          <w:b/>
          <w:sz w:val="24"/>
          <w:szCs w:val="24"/>
        </w:rPr>
        <w:t>READINESS REVIEW</w:t>
      </w:r>
      <w:bookmarkEnd w:id="4"/>
      <w:r>
        <w:rPr>
          <w:rFonts w:ascii="Times New Roman Bold" w:hAnsi="Times New Roman Bold"/>
          <w:b/>
          <w:sz w:val="24"/>
          <w:szCs w:val="24"/>
        </w:rPr>
        <w:t xml:space="preserve"> </w:t>
      </w:r>
    </w:p>
    <w:p w14:paraId="5708FED2" w14:textId="75DF0F29" w:rsidR="00365241" w:rsidRPr="00517AB9" w:rsidRDefault="00365241" w:rsidP="00365241">
      <w:pPr>
        <w:spacing w:after="480" w:line="360" w:lineRule="auto"/>
      </w:pPr>
      <w:r w:rsidRPr="00517AB9">
        <w:t xml:space="preserve">The purpose of the readiness review is to confirm that the State is prepared to implement </w:t>
      </w:r>
      <w:r w:rsidRPr="00517AB9">
        <w:lastRenderedPageBreak/>
        <w:t>the Managed Fee-for-Service (MFFS) Financial Alignment Demonstration in accordance with the model as outlined in the MOU. The goal is to ensure the successful transition of Medicare-Medicaid enrollees into the Demonstration and to ensure the State has the necessary infrastructure and capacity to implement, monitor, and oversee the proposed model</w:t>
      </w:r>
      <w:r w:rsidR="00F46B6F" w:rsidRPr="00517AB9">
        <w:t xml:space="preserve">. </w:t>
      </w:r>
    </w:p>
    <w:p w14:paraId="0F249A74" w14:textId="77777777" w:rsidR="00365241" w:rsidRDefault="00365241" w:rsidP="00365241">
      <w:pPr>
        <w:pStyle w:val="BodyText2"/>
        <w:spacing w:after="480" w:line="360" w:lineRule="auto"/>
        <w:rPr>
          <w:sz w:val="24"/>
          <w:szCs w:val="24"/>
        </w:rPr>
      </w:pPr>
      <w:r w:rsidRPr="00517AB9">
        <w:rPr>
          <w:sz w:val="24"/>
          <w:szCs w:val="24"/>
        </w:rPr>
        <w:t>CMS has conducted a readiness review and determined that the State has reached a level of readiness to implement the Demonstration. CMS and the State will finalize benchmarks for the Demonstration quality metrics for the retrospective performance payment, as described in Section IV.J.3.b</w:t>
      </w:r>
      <w:r>
        <w:rPr>
          <w:sz w:val="24"/>
          <w:szCs w:val="24"/>
        </w:rPr>
        <w:t>.</w:t>
      </w:r>
    </w:p>
    <w:p w14:paraId="0A4617A8"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5" w:name="_Toc521327530"/>
      <w:r>
        <w:rPr>
          <w:rFonts w:ascii="Times New Roman Bold" w:hAnsi="Times New Roman Bold"/>
          <w:b/>
          <w:sz w:val="24"/>
          <w:szCs w:val="24"/>
        </w:rPr>
        <w:t>PROCESS AND OPERATIONAL PROVISIONS</w:t>
      </w:r>
      <w:bookmarkEnd w:id="5"/>
      <w:r>
        <w:rPr>
          <w:rFonts w:ascii="Times New Roman Bold" w:hAnsi="Times New Roman Bold"/>
          <w:b/>
          <w:sz w:val="24"/>
          <w:szCs w:val="24"/>
        </w:rPr>
        <w:t xml:space="preserve"> </w:t>
      </w:r>
    </w:p>
    <w:p w14:paraId="3E062E65" w14:textId="6983DD30" w:rsidR="00A2665E" w:rsidRPr="00365241" w:rsidRDefault="00A2665E" w:rsidP="00BE7ABA">
      <w:pPr>
        <w:pStyle w:val="BodyText2"/>
        <w:spacing w:after="480" w:line="360" w:lineRule="auto"/>
        <w:outlineLvl w:val="1"/>
        <w:rPr>
          <w:rFonts w:ascii="Times New Roman Bold" w:hAnsi="Times New Roman Bold"/>
          <w:b/>
          <w:sz w:val="24"/>
          <w:szCs w:val="24"/>
        </w:rPr>
      </w:pPr>
      <w:bookmarkStart w:id="6" w:name="_Toc521327531"/>
      <w:r w:rsidRPr="00365241">
        <w:rPr>
          <w:sz w:val="24"/>
          <w:szCs w:val="24"/>
        </w:rPr>
        <w:t>Items are listed in acco</w:t>
      </w:r>
      <w:r w:rsidR="005C0817">
        <w:rPr>
          <w:sz w:val="24"/>
          <w:szCs w:val="24"/>
        </w:rPr>
        <w:t xml:space="preserve">rdance </w:t>
      </w:r>
      <w:proofErr w:type="gramStart"/>
      <w:r w:rsidR="005C0817">
        <w:rPr>
          <w:sz w:val="24"/>
          <w:szCs w:val="24"/>
        </w:rPr>
        <w:t>to</w:t>
      </w:r>
      <w:proofErr w:type="gramEnd"/>
      <w:r w:rsidR="005C0817">
        <w:rPr>
          <w:sz w:val="24"/>
          <w:szCs w:val="24"/>
        </w:rPr>
        <w:t xml:space="preserve"> relevant MOU sections.</w:t>
      </w:r>
      <w:r w:rsidRPr="00365241">
        <w:rPr>
          <w:sz w:val="24"/>
          <w:szCs w:val="24"/>
        </w:rPr>
        <w:t xml:space="preserve"> “Intentionally Left Blank” is noted for those sections for which there are no changes from the MOU</w:t>
      </w:r>
      <w:r w:rsidR="00857B4B" w:rsidRPr="00365241">
        <w:rPr>
          <w:sz w:val="24"/>
          <w:szCs w:val="24"/>
        </w:rPr>
        <w:t xml:space="preserve">. </w:t>
      </w:r>
      <w:r w:rsidRPr="00365241">
        <w:rPr>
          <w:sz w:val="24"/>
          <w:szCs w:val="24"/>
        </w:rPr>
        <w:t>For definitions, please refer to the MOU.</w:t>
      </w:r>
      <w:bookmarkEnd w:id="6"/>
    </w:p>
    <w:p w14:paraId="0E2EB289" w14:textId="2BB884FF" w:rsidR="00365241" w:rsidRPr="00737FEF" w:rsidRDefault="00A2665E" w:rsidP="00BE7ABA">
      <w:pPr>
        <w:pStyle w:val="BodyText2"/>
        <w:numPr>
          <w:ilvl w:val="1"/>
          <w:numId w:val="36"/>
        </w:numPr>
        <w:spacing w:after="480" w:line="360" w:lineRule="auto"/>
        <w:outlineLvl w:val="1"/>
        <w:rPr>
          <w:rFonts w:ascii="Times New Roman Bold" w:hAnsi="Times New Roman Bold"/>
          <w:b/>
          <w:sz w:val="24"/>
          <w:szCs w:val="24"/>
        </w:rPr>
      </w:pPr>
      <w:bookmarkStart w:id="7" w:name="_Toc521327532"/>
      <w:r w:rsidRPr="00737FEF">
        <w:rPr>
          <w:rFonts w:ascii="Times New Roman Bold" w:hAnsi="Times New Roman Bold"/>
          <w:b/>
          <w:sz w:val="24"/>
          <w:szCs w:val="24"/>
        </w:rPr>
        <w:t>STATEMENT OF INITIATIVE (SECTION I of the MOU)</w:t>
      </w:r>
      <w:bookmarkEnd w:id="7"/>
      <w:r w:rsidRPr="00737FEF">
        <w:rPr>
          <w:rFonts w:ascii="Times New Roman Bold" w:hAnsi="Times New Roman Bold"/>
          <w:b/>
          <w:sz w:val="24"/>
          <w:szCs w:val="24"/>
        </w:rPr>
        <w:t xml:space="preserve"> </w:t>
      </w:r>
    </w:p>
    <w:p w14:paraId="3083DD14" w14:textId="3D383A40" w:rsidR="00A2665E" w:rsidRPr="00365241" w:rsidRDefault="00A2665E" w:rsidP="00365241">
      <w:pPr>
        <w:pStyle w:val="BodyText2"/>
        <w:spacing w:after="480" w:line="360" w:lineRule="auto"/>
        <w:ind w:left="720"/>
        <w:rPr>
          <w:rFonts w:ascii="Times New Roman Bold" w:hAnsi="Times New Roman Bold"/>
          <w:b/>
          <w:i/>
          <w:sz w:val="24"/>
          <w:szCs w:val="24"/>
        </w:rPr>
      </w:pPr>
      <w:r w:rsidRPr="00365241">
        <w:rPr>
          <w:sz w:val="24"/>
          <w:szCs w:val="24"/>
        </w:rPr>
        <w:t xml:space="preserve">CMS and the State agree to begin this Managed Fee-for-Service Financial Alignment Demonstration on July 1, 2013, and continue until December 31, </w:t>
      </w:r>
      <w:r w:rsidR="00624044">
        <w:rPr>
          <w:sz w:val="24"/>
          <w:szCs w:val="24"/>
        </w:rPr>
        <w:t>2024</w:t>
      </w:r>
      <w:r w:rsidRPr="00160956">
        <w:rPr>
          <w:sz w:val="24"/>
          <w:szCs w:val="24"/>
        </w:rPr>
        <w:t>, unless extended</w:t>
      </w:r>
      <w:r w:rsidRPr="00365241">
        <w:rPr>
          <w:sz w:val="24"/>
          <w:szCs w:val="24"/>
        </w:rPr>
        <w:t xml:space="preserve"> or terminated pursuant to the terms and conditions in Section V or VI, respectively, of this Agreement</w:t>
      </w:r>
      <w:r w:rsidR="00365241">
        <w:rPr>
          <w:sz w:val="24"/>
          <w:szCs w:val="24"/>
        </w:rPr>
        <w:t>.</w:t>
      </w:r>
    </w:p>
    <w:p w14:paraId="4DC521A8" w14:textId="77777777" w:rsidR="00A2665E" w:rsidRDefault="00A2665E" w:rsidP="00BE7ABA">
      <w:pPr>
        <w:pStyle w:val="BodyText2"/>
        <w:numPr>
          <w:ilvl w:val="1"/>
          <w:numId w:val="36"/>
        </w:numPr>
        <w:tabs>
          <w:tab w:val="clear" w:pos="2160"/>
        </w:tabs>
        <w:spacing w:after="480" w:line="360" w:lineRule="auto"/>
        <w:ind w:left="1526" w:hanging="806"/>
        <w:outlineLvl w:val="1"/>
        <w:rPr>
          <w:rFonts w:ascii="Times New Roman Bold" w:hAnsi="Times New Roman Bold"/>
          <w:b/>
          <w:sz w:val="24"/>
          <w:szCs w:val="24"/>
        </w:rPr>
      </w:pPr>
      <w:bookmarkStart w:id="8" w:name="_Toc521327533"/>
      <w:r>
        <w:rPr>
          <w:rFonts w:ascii="Times New Roman Bold" w:hAnsi="Times New Roman Bold"/>
          <w:b/>
          <w:sz w:val="24"/>
          <w:szCs w:val="24"/>
        </w:rPr>
        <w:t>SPECIFIC PURPOSE OF THE MEMORANDUM OF UNDERSTANDING (SECTION II of the MOU)</w:t>
      </w:r>
      <w:bookmarkEnd w:id="8"/>
    </w:p>
    <w:p w14:paraId="1EA8F842" w14:textId="77777777" w:rsidR="00365241" w:rsidRPr="00365241" w:rsidRDefault="00365241" w:rsidP="00365241">
      <w:pPr>
        <w:pStyle w:val="BodyText2"/>
        <w:spacing w:after="480" w:line="360" w:lineRule="auto"/>
        <w:ind w:left="720"/>
        <w:rPr>
          <w:sz w:val="24"/>
          <w:szCs w:val="24"/>
        </w:rPr>
      </w:pPr>
      <w:r w:rsidRPr="00365241">
        <w:rPr>
          <w:sz w:val="24"/>
          <w:szCs w:val="24"/>
        </w:rPr>
        <w:t xml:space="preserve">Intentionally Left Blank </w:t>
      </w:r>
    </w:p>
    <w:p w14:paraId="5348C7BA" w14:textId="77777777" w:rsidR="00A2665E" w:rsidRDefault="00A2665E" w:rsidP="00BE7ABA">
      <w:pPr>
        <w:pStyle w:val="BodyText2"/>
        <w:numPr>
          <w:ilvl w:val="1"/>
          <w:numId w:val="36"/>
        </w:numPr>
        <w:spacing w:after="480" w:line="360" w:lineRule="auto"/>
        <w:outlineLvl w:val="1"/>
        <w:rPr>
          <w:rFonts w:ascii="Times New Roman Bold" w:hAnsi="Times New Roman Bold"/>
          <w:b/>
          <w:sz w:val="24"/>
          <w:szCs w:val="24"/>
        </w:rPr>
      </w:pPr>
      <w:bookmarkStart w:id="9" w:name="_Toc521327534"/>
      <w:r>
        <w:rPr>
          <w:rFonts w:ascii="Times New Roman Bold" w:hAnsi="Times New Roman Bold"/>
          <w:b/>
          <w:sz w:val="24"/>
          <w:szCs w:val="24"/>
        </w:rPr>
        <w:lastRenderedPageBreak/>
        <w:t>PROGRAM DESIGN/OPERATIONAL PLAN (SECTION III of the MOU)</w:t>
      </w:r>
      <w:bookmarkEnd w:id="9"/>
    </w:p>
    <w:p w14:paraId="2A231CEA" w14:textId="77777777" w:rsidR="00A2665E" w:rsidRDefault="00A2665E" w:rsidP="00A2665E">
      <w:pPr>
        <w:pStyle w:val="BodyText2"/>
        <w:numPr>
          <w:ilvl w:val="2"/>
          <w:numId w:val="36"/>
        </w:numPr>
        <w:spacing w:after="480" w:line="360" w:lineRule="auto"/>
        <w:rPr>
          <w:rFonts w:ascii="Times New Roman Bold" w:hAnsi="Times New Roman Bold"/>
          <w:b/>
          <w:sz w:val="24"/>
          <w:szCs w:val="24"/>
        </w:rPr>
      </w:pPr>
      <w:r>
        <w:rPr>
          <w:rFonts w:ascii="Times New Roman Bold" w:hAnsi="Times New Roman Bold"/>
          <w:b/>
          <w:sz w:val="24"/>
          <w:szCs w:val="24"/>
        </w:rPr>
        <w:t>Program Authority</w:t>
      </w:r>
    </w:p>
    <w:p w14:paraId="2018F787" w14:textId="77777777" w:rsidR="00A2665E" w:rsidRPr="00A2665E" w:rsidRDefault="00A2665E" w:rsidP="00A2665E">
      <w:pPr>
        <w:pStyle w:val="BodyText2"/>
        <w:numPr>
          <w:ilvl w:val="3"/>
          <w:numId w:val="36"/>
        </w:numPr>
        <w:spacing w:after="480" w:line="360" w:lineRule="auto"/>
        <w:rPr>
          <w:sz w:val="24"/>
          <w:szCs w:val="24"/>
        </w:rPr>
      </w:pPr>
      <w:r w:rsidRPr="00365241">
        <w:rPr>
          <w:i/>
          <w:sz w:val="24"/>
          <w:szCs w:val="24"/>
        </w:rPr>
        <w:t>Medicare Authority</w:t>
      </w:r>
      <w:r w:rsidRPr="00A2665E">
        <w:rPr>
          <w:sz w:val="24"/>
          <w:szCs w:val="24"/>
        </w:rPr>
        <w:t>: Intentionally Left Blank.</w:t>
      </w:r>
    </w:p>
    <w:p w14:paraId="78DCCA8F" w14:textId="77777777" w:rsidR="00A2665E" w:rsidRDefault="00A2665E" w:rsidP="00365241">
      <w:pPr>
        <w:pStyle w:val="BodyText2"/>
        <w:numPr>
          <w:ilvl w:val="3"/>
          <w:numId w:val="36"/>
        </w:numPr>
        <w:tabs>
          <w:tab w:val="clear" w:pos="4320"/>
        </w:tabs>
        <w:spacing w:after="480" w:line="360" w:lineRule="auto"/>
        <w:ind w:left="3600" w:hanging="1440"/>
        <w:rPr>
          <w:sz w:val="24"/>
          <w:szCs w:val="24"/>
        </w:rPr>
      </w:pPr>
      <w:r w:rsidRPr="00365241">
        <w:rPr>
          <w:i/>
          <w:sz w:val="24"/>
          <w:szCs w:val="24"/>
        </w:rPr>
        <w:t>Medicaid Authority</w:t>
      </w:r>
      <w:r w:rsidRPr="00A2665E">
        <w:rPr>
          <w:sz w:val="24"/>
          <w:szCs w:val="24"/>
        </w:rPr>
        <w:t>: See Section H on Medicaid Authority and Appendix 5 of the MOU.</w:t>
      </w:r>
    </w:p>
    <w:p w14:paraId="4953CBF5" w14:textId="60D2F4BD" w:rsidR="00A2665E" w:rsidRPr="00365241" w:rsidRDefault="00A2665E" w:rsidP="004D3D3C">
      <w:pPr>
        <w:pStyle w:val="BodyText2"/>
        <w:numPr>
          <w:ilvl w:val="2"/>
          <w:numId w:val="36"/>
        </w:numPr>
        <w:tabs>
          <w:tab w:val="clear" w:pos="3384"/>
        </w:tabs>
        <w:spacing w:after="480" w:line="360" w:lineRule="auto"/>
        <w:rPr>
          <w:b/>
          <w:sz w:val="24"/>
          <w:szCs w:val="24"/>
        </w:rPr>
      </w:pPr>
      <w:r w:rsidRPr="00365241">
        <w:rPr>
          <w:b/>
          <w:sz w:val="24"/>
          <w:szCs w:val="24"/>
        </w:rPr>
        <w:t>Eligibility</w:t>
      </w:r>
    </w:p>
    <w:p w14:paraId="2EC44129" w14:textId="7A5C6A5E" w:rsidR="00A2665E" w:rsidRPr="00C23B70" w:rsidRDefault="00A2665E" w:rsidP="00365241">
      <w:pPr>
        <w:pStyle w:val="BodyText2"/>
        <w:numPr>
          <w:ilvl w:val="3"/>
          <w:numId w:val="36"/>
        </w:numPr>
        <w:tabs>
          <w:tab w:val="clear" w:pos="4320"/>
        </w:tabs>
        <w:spacing w:after="480" w:line="360" w:lineRule="auto"/>
        <w:ind w:left="3600" w:hanging="1350"/>
        <w:rPr>
          <w:sz w:val="24"/>
          <w:szCs w:val="24"/>
        </w:rPr>
      </w:pPr>
      <w:r w:rsidRPr="00666E43">
        <w:rPr>
          <w:i/>
          <w:sz w:val="24"/>
          <w:szCs w:val="24"/>
        </w:rPr>
        <w:t xml:space="preserve">Eligible Populations: </w:t>
      </w:r>
      <w:r w:rsidRPr="00666E43">
        <w:rPr>
          <w:bCs/>
          <w:color w:val="000000"/>
          <w:sz w:val="24"/>
          <w:szCs w:val="24"/>
        </w:rPr>
        <w:t xml:space="preserve">Beneficiaries with one chronic condition and at risk of developing another are eligible for the State’s approved health home SPAs </w:t>
      </w:r>
      <w:r w:rsidRPr="00666E43">
        <w:rPr>
          <w:sz w:val="24"/>
          <w:szCs w:val="24"/>
        </w:rPr>
        <w:t>#13-</w:t>
      </w:r>
      <w:r w:rsidR="00A97957" w:rsidRPr="00666E43">
        <w:rPr>
          <w:sz w:val="24"/>
          <w:szCs w:val="24"/>
        </w:rPr>
        <w:t>00</w:t>
      </w:r>
      <w:r w:rsidRPr="00666E43">
        <w:rPr>
          <w:sz w:val="24"/>
          <w:szCs w:val="24"/>
        </w:rPr>
        <w:t>08, #13-</w:t>
      </w:r>
      <w:r w:rsidR="00A97957" w:rsidRPr="00666E43">
        <w:rPr>
          <w:sz w:val="24"/>
          <w:szCs w:val="24"/>
        </w:rPr>
        <w:t>00</w:t>
      </w:r>
      <w:r w:rsidRPr="00666E43">
        <w:rPr>
          <w:sz w:val="24"/>
          <w:szCs w:val="24"/>
        </w:rPr>
        <w:t>17,</w:t>
      </w:r>
      <w:r w:rsidR="00737FEF">
        <w:rPr>
          <w:sz w:val="24"/>
          <w:szCs w:val="24"/>
        </w:rPr>
        <w:t xml:space="preserve"> </w:t>
      </w:r>
      <w:r w:rsidRPr="00666E43">
        <w:rPr>
          <w:sz w:val="24"/>
          <w:szCs w:val="24"/>
        </w:rPr>
        <w:t xml:space="preserve">#15-0011, </w:t>
      </w:r>
      <w:r w:rsidR="00365241" w:rsidRPr="00666E43">
        <w:rPr>
          <w:sz w:val="24"/>
          <w:szCs w:val="24"/>
        </w:rPr>
        <w:t>#16-</w:t>
      </w:r>
      <w:r w:rsidR="00365241" w:rsidRPr="00160956">
        <w:rPr>
          <w:sz w:val="24"/>
          <w:szCs w:val="24"/>
        </w:rPr>
        <w:t>0026</w:t>
      </w:r>
      <w:r w:rsidRPr="00160956">
        <w:rPr>
          <w:sz w:val="24"/>
          <w:szCs w:val="24"/>
        </w:rPr>
        <w:t>,</w:t>
      </w:r>
      <w:r w:rsidR="007F31D2" w:rsidRPr="00160956">
        <w:rPr>
          <w:sz w:val="24"/>
          <w:szCs w:val="24"/>
        </w:rPr>
        <w:t xml:space="preserve"> #18-0028,</w:t>
      </w:r>
      <w:r w:rsidRPr="00160956">
        <w:rPr>
          <w:sz w:val="24"/>
          <w:szCs w:val="24"/>
        </w:rPr>
        <w:t xml:space="preserve"> </w:t>
      </w:r>
      <w:r w:rsidR="001D1A56">
        <w:rPr>
          <w:sz w:val="24"/>
          <w:szCs w:val="24"/>
        </w:rPr>
        <w:t xml:space="preserve">and #20-0031 </w:t>
      </w:r>
      <w:r w:rsidRPr="00160956">
        <w:rPr>
          <w:sz w:val="24"/>
          <w:szCs w:val="24"/>
        </w:rPr>
        <w:t>as</w:t>
      </w:r>
      <w:r w:rsidRPr="00C23B70">
        <w:rPr>
          <w:sz w:val="24"/>
          <w:szCs w:val="24"/>
        </w:rPr>
        <w:t xml:space="preserve"> summarized below:</w:t>
      </w:r>
    </w:p>
    <w:p w14:paraId="3A047C7D" w14:textId="77777777" w:rsid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bCs/>
          <w:i/>
          <w:color w:val="000000"/>
          <w:sz w:val="24"/>
          <w:szCs w:val="24"/>
        </w:rPr>
        <w:t xml:space="preserve">Chronic Conditions: </w:t>
      </w:r>
      <w:r w:rsidRPr="00365241">
        <w:rPr>
          <w:bCs/>
          <w:color w:val="000000"/>
          <w:sz w:val="24"/>
          <w:szCs w:val="24"/>
        </w:rPr>
        <w:t>The applicable chronic conditions for eligibility are: m</w:t>
      </w:r>
      <w:r w:rsidRPr="00365241">
        <w:rPr>
          <w:sz w:val="24"/>
          <w:szCs w:val="24"/>
        </w:rPr>
        <w:t>ental health condition, substance use disorder, asthma, diabetes, heart disease, cancer, cerebrovascular disease, coronary artery disease, dementia or Alzheimer’s disease, intellectual disability or disease, HIV/AIDS, renal failure, chronic respiratory conditions, neurological disease, gastrointestinal, hematological and musculoskeletal conditions.</w:t>
      </w:r>
    </w:p>
    <w:p w14:paraId="5928A2E5" w14:textId="77777777" w:rsid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bCs/>
          <w:i/>
          <w:color w:val="000000"/>
          <w:sz w:val="24"/>
          <w:szCs w:val="24"/>
        </w:rPr>
        <w:lastRenderedPageBreak/>
        <w:t>At Risk of Developing Another Chronic Condition:</w:t>
      </w:r>
      <w:r w:rsidRPr="00365241">
        <w:rPr>
          <w:bCs/>
          <w:color w:val="000000"/>
          <w:sz w:val="24"/>
          <w:szCs w:val="24"/>
        </w:rPr>
        <w:t xml:space="preserve"> </w:t>
      </w:r>
      <w:r w:rsidRPr="00365241">
        <w:rPr>
          <w:sz w:val="24"/>
          <w:szCs w:val="24"/>
        </w:rPr>
        <w:t>Risk of a second chronic condition is defined by a minimum predictive risk score of 1.5.  The predictive risk score of 1.5 means a beneficiary’s expected future medical expenditures is expected to be 50% greater than the base reference group, the Washington SSI disability population. The Washington risk score is based on the Chronic Illness &amp; Disability Payment System and Medicaid-Rx risk groupers developed by Rick Kronick and Todd Gilmer at the University of California, San Diego, with risk weights normalized for the Washington Medicaid population. Diagnoses, prescriptions, age, and gender from the beneficiary’s medical claims and eligibility history for the past 15 months (24 months for children) are analyzed, a risk score is calculated and chronic conditions checked across all categorically needy populations, and a clinical indicator (Y=qualifies; N=does not qualify) is loaded into the Washington Medicaid Management Information System (MMIS).</w:t>
      </w:r>
    </w:p>
    <w:p w14:paraId="06FE2315" w14:textId="443BD011" w:rsidR="00A2665E" w:rsidRP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sz w:val="24"/>
          <w:szCs w:val="24"/>
        </w:rPr>
        <w:t>Potentially eligible beneficiaries with insufficient claims history may be referred to the program by contacting the Washington Health Care Authority (HCA)</w:t>
      </w:r>
      <w:r w:rsidR="00857B4B" w:rsidRPr="00365241">
        <w:rPr>
          <w:sz w:val="24"/>
          <w:szCs w:val="24"/>
        </w:rPr>
        <w:t xml:space="preserve">. </w:t>
      </w:r>
      <w:r w:rsidRPr="00365241">
        <w:rPr>
          <w:sz w:val="24"/>
          <w:szCs w:val="24"/>
        </w:rPr>
        <w:lastRenderedPageBreak/>
        <w:t>A tool has been developed to manually calculate risk</w:t>
      </w:r>
      <w:r w:rsidR="00857B4B" w:rsidRPr="00365241">
        <w:rPr>
          <w:sz w:val="24"/>
          <w:szCs w:val="24"/>
        </w:rPr>
        <w:t xml:space="preserve">. </w:t>
      </w:r>
      <w:r w:rsidRPr="00365241">
        <w:rPr>
          <w:sz w:val="24"/>
          <w:szCs w:val="24"/>
        </w:rPr>
        <w:t>This tool will be on the health home website and distributed to the designated providers</w:t>
      </w:r>
      <w:r w:rsidR="00857B4B" w:rsidRPr="00365241">
        <w:rPr>
          <w:sz w:val="24"/>
          <w:szCs w:val="24"/>
        </w:rPr>
        <w:t xml:space="preserve">. </w:t>
      </w:r>
      <w:r w:rsidRPr="00365241">
        <w:rPr>
          <w:sz w:val="24"/>
          <w:szCs w:val="24"/>
        </w:rPr>
        <w:t>Once a provider has determined a beneficiary is eligible by manually calculating their risk that information will be sent to HCA for further analysis</w:t>
      </w:r>
      <w:r w:rsidR="00857B4B" w:rsidRPr="00365241">
        <w:rPr>
          <w:sz w:val="24"/>
          <w:szCs w:val="24"/>
        </w:rPr>
        <w:t xml:space="preserve">. </w:t>
      </w:r>
      <w:r w:rsidRPr="00365241">
        <w:rPr>
          <w:sz w:val="24"/>
          <w:szCs w:val="24"/>
        </w:rPr>
        <w:t xml:space="preserve">If the beneficiary is eligible, he or she </w:t>
      </w:r>
      <w:r w:rsidRPr="00C23B70">
        <w:rPr>
          <w:sz w:val="24"/>
          <w:szCs w:val="24"/>
        </w:rPr>
        <w:t>will be enrolled into a health home.</w:t>
      </w:r>
    </w:p>
    <w:p w14:paraId="5E9481B8" w14:textId="77777777" w:rsidR="00A2665E" w:rsidRPr="00365241" w:rsidRDefault="00A2665E" w:rsidP="00365241">
      <w:pPr>
        <w:pStyle w:val="BodyText2"/>
        <w:numPr>
          <w:ilvl w:val="3"/>
          <w:numId w:val="36"/>
        </w:numPr>
        <w:tabs>
          <w:tab w:val="clear" w:pos="4320"/>
        </w:tabs>
        <w:spacing w:after="480" w:line="360" w:lineRule="auto"/>
        <w:ind w:left="3690" w:hanging="1350"/>
        <w:rPr>
          <w:sz w:val="24"/>
          <w:szCs w:val="24"/>
        </w:rPr>
      </w:pPr>
      <w:r w:rsidRPr="00365241">
        <w:rPr>
          <w:i/>
          <w:sz w:val="24"/>
          <w:szCs w:val="24"/>
        </w:rPr>
        <w:t xml:space="preserve">Outreach and Education: </w:t>
      </w:r>
      <w:r w:rsidRPr="00365241">
        <w:rPr>
          <w:sz w:val="24"/>
          <w:szCs w:val="24"/>
        </w:rPr>
        <w:t>The State and CMS will coordinate to provide additional outreach to providers, including regional meetings, webinars, focus groups, informational emails via the HCA listserv, and the ability for local organizations, providers, and hospitals to refer potentially eligible beneficiaries to the State.</w:t>
      </w:r>
    </w:p>
    <w:p w14:paraId="02414651" w14:textId="36BD039C" w:rsidR="00A2665E" w:rsidRPr="00365241" w:rsidRDefault="00737FEF" w:rsidP="004D3D3C">
      <w:pPr>
        <w:pStyle w:val="BodyText2"/>
        <w:numPr>
          <w:ilvl w:val="2"/>
          <w:numId w:val="36"/>
        </w:numPr>
        <w:tabs>
          <w:tab w:val="clear" w:pos="720"/>
          <w:tab w:val="clear" w:pos="1440"/>
          <w:tab w:val="clear" w:pos="2160"/>
        </w:tabs>
        <w:spacing w:after="480" w:line="360" w:lineRule="auto"/>
        <w:ind w:left="2880" w:hanging="450"/>
        <w:rPr>
          <w:b/>
          <w:sz w:val="24"/>
          <w:szCs w:val="24"/>
        </w:rPr>
      </w:pPr>
      <w:r>
        <w:rPr>
          <w:b/>
          <w:sz w:val="24"/>
          <w:szCs w:val="24"/>
        </w:rPr>
        <w:t>Delivery Systems and Benefits</w:t>
      </w:r>
    </w:p>
    <w:p w14:paraId="1D333611" w14:textId="7E0D254D" w:rsidR="00A2665E" w:rsidRPr="00F95EBB" w:rsidRDefault="00A2665E" w:rsidP="004D3D3C">
      <w:pPr>
        <w:pStyle w:val="BodyText2"/>
        <w:numPr>
          <w:ilvl w:val="3"/>
          <w:numId w:val="36"/>
        </w:numPr>
        <w:tabs>
          <w:tab w:val="clear" w:pos="1440"/>
          <w:tab w:val="clear" w:pos="4320"/>
        </w:tabs>
        <w:spacing w:after="480" w:line="360" w:lineRule="auto"/>
        <w:ind w:left="3600" w:hanging="1260"/>
        <w:rPr>
          <w:sz w:val="24"/>
          <w:szCs w:val="24"/>
        </w:rPr>
      </w:pPr>
      <w:r w:rsidRPr="004D3D3C">
        <w:rPr>
          <w:color w:val="000000"/>
          <w:sz w:val="24"/>
          <w:szCs w:val="24"/>
        </w:rPr>
        <w:t xml:space="preserve">For beneficiaries who elect to receive health home </w:t>
      </w:r>
      <w:r w:rsidRPr="00F95EBB">
        <w:rPr>
          <w:color w:val="000000"/>
          <w:sz w:val="24"/>
          <w:szCs w:val="24"/>
        </w:rPr>
        <w:t>services, the Health Home Care Coordinator will perform a comprehensive in-person health screening</w:t>
      </w:r>
      <w:r w:rsidRPr="00FC7F5E">
        <w:rPr>
          <w:color w:val="000000"/>
          <w:sz w:val="24"/>
          <w:szCs w:val="24"/>
        </w:rPr>
        <w:t xml:space="preserve"> and work with the beneficiary to complete a Health Act</w:t>
      </w:r>
      <w:r w:rsidRPr="00C14CBA">
        <w:rPr>
          <w:color w:val="000000"/>
          <w:sz w:val="24"/>
          <w:szCs w:val="24"/>
        </w:rPr>
        <w:t>ion Plan within 90 days of the date when the Lead Entity was notified of the beneficiary’s health home eligibility</w:t>
      </w:r>
      <w:r w:rsidR="00857B4B" w:rsidRPr="00C14CBA">
        <w:rPr>
          <w:color w:val="000000"/>
          <w:sz w:val="24"/>
          <w:szCs w:val="24"/>
        </w:rPr>
        <w:t>.</w:t>
      </w:r>
      <w:r w:rsidR="00857B4B">
        <w:rPr>
          <w:color w:val="000000"/>
          <w:sz w:val="24"/>
          <w:szCs w:val="24"/>
        </w:rPr>
        <w:t xml:space="preserve"> </w:t>
      </w:r>
    </w:p>
    <w:p w14:paraId="50ADFD33" w14:textId="445DC7C0" w:rsidR="00A2665E" w:rsidRPr="004D3D3C" w:rsidRDefault="00A2665E" w:rsidP="003638D6">
      <w:pPr>
        <w:pStyle w:val="BodyText2"/>
        <w:numPr>
          <w:ilvl w:val="2"/>
          <w:numId w:val="36"/>
        </w:numPr>
        <w:tabs>
          <w:tab w:val="clear" w:pos="3384"/>
          <w:tab w:val="left" w:pos="3060"/>
        </w:tabs>
        <w:spacing w:after="480" w:line="360" w:lineRule="auto"/>
        <w:ind w:left="2880" w:hanging="450"/>
        <w:rPr>
          <w:b/>
          <w:sz w:val="24"/>
          <w:szCs w:val="24"/>
        </w:rPr>
      </w:pPr>
      <w:r w:rsidRPr="004D3D3C">
        <w:rPr>
          <w:b/>
          <w:color w:val="000000"/>
          <w:sz w:val="24"/>
          <w:szCs w:val="24"/>
        </w:rPr>
        <w:t>Beneficiary Protections, Participation and Customer</w:t>
      </w:r>
      <w:r w:rsidR="003638D6">
        <w:rPr>
          <w:b/>
          <w:color w:val="000000"/>
          <w:sz w:val="24"/>
          <w:szCs w:val="24"/>
        </w:rPr>
        <w:t xml:space="preserve"> </w:t>
      </w:r>
      <w:r w:rsidRPr="004D3D3C">
        <w:rPr>
          <w:b/>
          <w:color w:val="000000"/>
          <w:sz w:val="24"/>
          <w:szCs w:val="24"/>
        </w:rPr>
        <w:t>Service</w:t>
      </w:r>
    </w:p>
    <w:p w14:paraId="3DD761E6" w14:textId="5E8FE581" w:rsidR="00A2665E" w:rsidRPr="004D3D3C" w:rsidRDefault="00A2665E" w:rsidP="004D3D3C">
      <w:pPr>
        <w:pStyle w:val="BodyText2"/>
        <w:numPr>
          <w:ilvl w:val="3"/>
          <w:numId w:val="36"/>
        </w:numPr>
        <w:tabs>
          <w:tab w:val="clear" w:pos="4320"/>
        </w:tabs>
        <w:spacing w:after="480" w:line="360" w:lineRule="auto"/>
        <w:ind w:left="3600" w:hanging="1260"/>
        <w:rPr>
          <w:sz w:val="24"/>
          <w:szCs w:val="24"/>
        </w:rPr>
      </w:pPr>
      <w:r w:rsidRPr="004D3D3C">
        <w:rPr>
          <w:b/>
          <w:bCs/>
          <w:sz w:val="24"/>
          <w:szCs w:val="24"/>
        </w:rPr>
        <w:lastRenderedPageBreak/>
        <w:t xml:space="preserve">Beneficiary Participation on Governing and Advisory Boards: </w:t>
      </w:r>
      <w:r w:rsidRPr="004D3D3C">
        <w:rPr>
          <w:sz w:val="24"/>
          <w:szCs w:val="24"/>
        </w:rPr>
        <w:t xml:space="preserve">As part of the Demonstration, CMS and the State shall require Health Home Networks to establish mechanisms to ensure meaningful beneficiary input processes and the involvement of beneficiaries in planning and process improvements. This will be addressed in the State’s qualification process for Health Home Networks. In addition, the State will provide avenues for ongoing beneficiary or beneficiary advocates to provide input into the Demonstration model, including participation in the </w:t>
      </w:r>
      <w:r w:rsidR="004D3D3C">
        <w:rPr>
          <w:sz w:val="24"/>
          <w:szCs w:val="24"/>
        </w:rPr>
        <w:t xml:space="preserve">Service Experience </w:t>
      </w:r>
      <w:r w:rsidR="00BF4EFA">
        <w:rPr>
          <w:sz w:val="24"/>
          <w:szCs w:val="24"/>
        </w:rPr>
        <w:t>Team (SET)</w:t>
      </w:r>
      <w:r w:rsidR="00CA160C">
        <w:rPr>
          <w:sz w:val="24"/>
          <w:szCs w:val="24"/>
        </w:rPr>
        <w:t>.</w:t>
      </w:r>
      <w:r w:rsidRPr="004D3D3C">
        <w:rPr>
          <w:sz w:val="24"/>
          <w:szCs w:val="24"/>
        </w:rPr>
        <w:t xml:space="preserve"> </w:t>
      </w:r>
      <w:r w:rsidR="00BF4EFA" w:rsidRPr="004D3D3C">
        <w:rPr>
          <w:sz w:val="24"/>
          <w:szCs w:val="24"/>
        </w:rPr>
        <w:t>The SET works in partnership with the State to promote choice, quality of life, health, independence, safety, and active engagement to program improvement and development. The SET consist</w:t>
      </w:r>
      <w:r w:rsidR="00F14B26">
        <w:rPr>
          <w:sz w:val="24"/>
          <w:szCs w:val="24"/>
        </w:rPr>
        <w:t>s</w:t>
      </w:r>
      <w:r w:rsidR="00BF4EFA" w:rsidRPr="004D3D3C">
        <w:rPr>
          <w:sz w:val="24"/>
          <w:szCs w:val="24"/>
        </w:rPr>
        <w:t xml:space="preserve"> of up to 12 clients representing a diverse cross-section of geography, gender and programs being utilized, three to five Advocacy Representatives, a Tribal Representative, and State staff</w:t>
      </w:r>
      <w:r w:rsidR="00857B4B" w:rsidRPr="004D3D3C">
        <w:rPr>
          <w:sz w:val="24"/>
          <w:szCs w:val="24"/>
        </w:rPr>
        <w:t xml:space="preserve">. </w:t>
      </w:r>
      <w:r w:rsidRPr="004D3D3C">
        <w:rPr>
          <w:sz w:val="24"/>
          <w:szCs w:val="24"/>
        </w:rPr>
        <w:t>Feedback collected by the State will be shared with Health Home Networks and will be part of the State’s process improvement efforts.</w:t>
      </w:r>
    </w:p>
    <w:p w14:paraId="0AD37C44" w14:textId="77777777" w:rsidR="00A2665E" w:rsidRPr="00BF4EFA" w:rsidRDefault="00A2665E" w:rsidP="00BF4EFA">
      <w:pPr>
        <w:pStyle w:val="BodyText2"/>
        <w:numPr>
          <w:ilvl w:val="2"/>
          <w:numId w:val="36"/>
        </w:numPr>
        <w:tabs>
          <w:tab w:val="clear" w:pos="3384"/>
          <w:tab w:val="num" w:pos="2880"/>
        </w:tabs>
        <w:spacing w:after="480" w:line="360" w:lineRule="auto"/>
        <w:rPr>
          <w:b/>
          <w:sz w:val="24"/>
          <w:szCs w:val="24"/>
        </w:rPr>
      </w:pPr>
      <w:r w:rsidRPr="00BF4EFA">
        <w:rPr>
          <w:b/>
          <w:bCs/>
          <w:sz w:val="24"/>
          <w:szCs w:val="24"/>
        </w:rPr>
        <w:t>Administration and Reporting</w:t>
      </w:r>
    </w:p>
    <w:p w14:paraId="6E52E9A8" w14:textId="77777777" w:rsidR="00A2665E" w:rsidRPr="00BF4EFA" w:rsidRDefault="00A2665E" w:rsidP="00BF4EFA">
      <w:pPr>
        <w:pStyle w:val="BodyText2"/>
        <w:numPr>
          <w:ilvl w:val="3"/>
          <w:numId w:val="36"/>
        </w:numPr>
        <w:tabs>
          <w:tab w:val="clear" w:pos="4320"/>
        </w:tabs>
        <w:spacing w:after="480" w:line="360" w:lineRule="auto"/>
        <w:ind w:left="3600" w:hanging="1260"/>
        <w:rPr>
          <w:sz w:val="24"/>
          <w:szCs w:val="24"/>
        </w:rPr>
      </w:pPr>
      <w:r w:rsidRPr="00BF4EFA">
        <w:rPr>
          <w:bCs/>
          <w:i/>
          <w:color w:val="000000"/>
          <w:sz w:val="24"/>
          <w:szCs w:val="24"/>
        </w:rPr>
        <w:t xml:space="preserve">Readiness Review: </w:t>
      </w:r>
      <w:r w:rsidRPr="00BF4EFA">
        <w:rPr>
          <w:bCs/>
          <w:color w:val="000000"/>
          <w:sz w:val="24"/>
          <w:szCs w:val="24"/>
        </w:rPr>
        <w:t xml:space="preserve">See </w:t>
      </w:r>
      <w:r w:rsidRPr="00343B91">
        <w:rPr>
          <w:bCs/>
          <w:color w:val="000000"/>
          <w:sz w:val="24"/>
          <w:szCs w:val="24"/>
        </w:rPr>
        <w:t>Section III for discussion</w:t>
      </w:r>
      <w:r w:rsidRPr="00BF4EFA">
        <w:rPr>
          <w:bCs/>
          <w:color w:val="000000"/>
          <w:sz w:val="24"/>
          <w:szCs w:val="24"/>
        </w:rPr>
        <w:t xml:space="preserve"> of Readiness Review.</w:t>
      </w:r>
    </w:p>
    <w:p w14:paraId="7DDAD1A1" w14:textId="178E9FEA" w:rsidR="00A2665E" w:rsidRPr="00BF4EFA" w:rsidRDefault="00A2665E" w:rsidP="00BF4EFA">
      <w:pPr>
        <w:pStyle w:val="BodyText2"/>
        <w:numPr>
          <w:ilvl w:val="3"/>
          <w:numId w:val="36"/>
        </w:numPr>
        <w:tabs>
          <w:tab w:val="clear" w:pos="4320"/>
        </w:tabs>
        <w:spacing w:after="480" w:line="360" w:lineRule="auto"/>
        <w:ind w:left="3600" w:hanging="1260"/>
        <w:rPr>
          <w:sz w:val="24"/>
          <w:szCs w:val="24"/>
        </w:rPr>
      </w:pPr>
      <w:r w:rsidRPr="00BF4EFA">
        <w:rPr>
          <w:bCs/>
          <w:i/>
          <w:color w:val="000000"/>
          <w:sz w:val="24"/>
          <w:szCs w:val="24"/>
        </w:rPr>
        <w:t>Monitoring:</w:t>
      </w:r>
      <w:r w:rsidR="00F14B26">
        <w:rPr>
          <w:bCs/>
          <w:color w:val="000000"/>
          <w:sz w:val="24"/>
          <w:szCs w:val="24"/>
        </w:rPr>
        <w:t xml:space="preserve"> Intentionally Left Blank</w:t>
      </w:r>
    </w:p>
    <w:p w14:paraId="4EA91A94" w14:textId="77777777" w:rsidR="00BF4EFA" w:rsidRPr="00416456" w:rsidRDefault="00A2665E" w:rsidP="003638D6">
      <w:pPr>
        <w:pStyle w:val="BodyText2"/>
        <w:numPr>
          <w:ilvl w:val="2"/>
          <w:numId w:val="36"/>
        </w:numPr>
        <w:spacing w:after="480" w:line="360" w:lineRule="auto"/>
        <w:ind w:left="2880" w:hanging="360"/>
        <w:rPr>
          <w:b/>
          <w:sz w:val="24"/>
          <w:szCs w:val="24"/>
        </w:rPr>
      </w:pPr>
      <w:r w:rsidRPr="00BF4EFA">
        <w:rPr>
          <w:b/>
          <w:bCs/>
          <w:color w:val="000000"/>
          <w:sz w:val="24"/>
          <w:szCs w:val="24"/>
        </w:rPr>
        <w:lastRenderedPageBreak/>
        <w:t xml:space="preserve">Quality Management: </w:t>
      </w:r>
      <w:r w:rsidRPr="00343B91">
        <w:rPr>
          <w:bCs/>
          <w:color w:val="000000"/>
          <w:sz w:val="24"/>
          <w:szCs w:val="24"/>
        </w:rPr>
        <w:t xml:space="preserve">See </w:t>
      </w:r>
      <w:r w:rsidRPr="00416456">
        <w:rPr>
          <w:bCs/>
          <w:color w:val="000000"/>
          <w:sz w:val="24"/>
          <w:szCs w:val="24"/>
        </w:rPr>
        <w:t xml:space="preserve">Section </w:t>
      </w:r>
      <w:r w:rsidR="00343B91" w:rsidRPr="00416456">
        <w:rPr>
          <w:bCs/>
          <w:color w:val="000000"/>
          <w:sz w:val="24"/>
          <w:szCs w:val="24"/>
        </w:rPr>
        <w:t>IV.</w:t>
      </w:r>
      <w:r w:rsidRPr="00416456">
        <w:rPr>
          <w:color w:val="000000"/>
          <w:sz w:val="24"/>
          <w:szCs w:val="24"/>
        </w:rPr>
        <w:t>J</w:t>
      </w:r>
      <w:r w:rsidRPr="00416456">
        <w:rPr>
          <w:bCs/>
          <w:color w:val="000000"/>
          <w:sz w:val="24"/>
          <w:szCs w:val="24"/>
        </w:rPr>
        <w:t xml:space="preserve"> for additional detail.</w:t>
      </w:r>
    </w:p>
    <w:p w14:paraId="486D7ACE" w14:textId="75CBFD58" w:rsidR="00BF4EFA" w:rsidRPr="00BF4EFA" w:rsidRDefault="00A2665E" w:rsidP="00F14B26">
      <w:pPr>
        <w:pStyle w:val="BodyText2"/>
        <w:numPr>
          <w:ilvl w:val="2"/>
          <w:numId w:val="36"/>
        </w:numPr>
        <w:tabs>
          <w:tab w:val="clear" w:pos="2880"/>
          <w:tab w:val="clear" w:pos="3384"/>
          <w:tab w:val="left" w:pos="2790"/>
        </w:tabs>
        <w:spacing w:after="480" w:line="360" w:lineRule="auto"/>
        <w:ind w:left="2880" w:hanging="360"/>
        <w:rPr>
          <w:b/>
          <w:sz w:val="24"/>
          <w:szCs w:val="24"/>
        </w:rPr>
      </w:pPr>
      <w:r w:rsidRPr="00416456">
        <w:rPr>
          <w:b/>
          <w:bCs/>
          <w:color w:val="000000"/>
          <w:sz w:val="24"/>
          <w:szCs w:val="24"/>
        </w:rPr>
        <w:t xml:space="preserve">Financing and Payment: </w:t>
      </w:r>
      <w:r w:rsidRPr="00416456">
        <w:rPr>
          <w:bCs/>
          <w:color w:val="000000"/>
          <w:sz w:val="24"/>
          <w:szCs w:val="24"/>
        </w:rPr>
        <w:t xml:space="preserve">See </w:t>
      </w:r>
      <w:r w:rsidRPr="00416456">
        <w:rPr>
          <w:color w:val="000000"/>
          <w:sz w:val="24"/>
          <w:szCs w:val="24"/>
        </w:rPr>
        <w:t xml:space="preserve">Sections </w:t>
      </w:r>
      <w:r w:rsidR="00737FEF" w:rsidRPr="00416456">
        <w:rPr>
          <w:color w:val="000000"/>
          <w:sz w:val="24"/>
          <w:szCs w:val="24"/>
        </w:rPr>
        <w:t>IV.</w:t>
      </w:r>
      <w:r w:rsidRPr="00416456">
        <w:rPr>
          <w:color w:val="000000"/>
          <w:sz w:val="24"/>
          <w:szCs w:val="24"/>
        </w:rPr>
        <w:t xml:space="preserve">I and </w:t>
      </w:r>
      <w:r w:rsidR="00737FEF" w:rsidRPr="00416456">
        <w:rPr>
          <w:color w:val="000000"/>
          <w:sz w:val="24"/>
          <w:szCs w:val="24"/>
        </w:rPr>
        <w:t>IV.</w:t>
      </w:r>
      <w:r w:rsidRPr="00416456">
        <w:rPr>
          <w:color w:val="000000"/>
          <w:sz w:val="24"/>
          <w:szCs w:val="24"/>
        </w:rPr>
        <w:t>J</w:t>
      </w:r>
      <w:r w:rsidRPr="00416456">
        <w:rPr>
          <w:bCs/>
          <w:color w:val="000000"/>
          <w:sz w:val="24"/>
          <w:szCs w:val="24"/>
        </w:rPr>
        <w:t xml:space="preserve"> for additional</w:t>
      </w:r>
      <w:r w:rsidRPr="00BF4EFA">
        <w:rPr>
          <w:bCs/>
          <w:color w:val="000000"/>
          <w:sz w:val="24"/>
          <w:szCs w:val="24"/>
        </w:rPr>
        <w:t xml:space="preserve"> detail.</w:t>
      </w:r>
    </w:p>
    <w:p w14:paraId="2B0CFEEA" w14:textId="77777777" w:rsidR="00A2665E" w:rsidRPr="00BF4EFA" w:rsidRDefault="00A2665E" w:rsidP="00BF4EFA">
      <w:pPr>
        <w:pStyle w:val="BodyText2"/>
        <w:numPr>
          <w:ilvl w:val="2"/>
          <w:numId w:val="36"/>
        </w:numPr>
        <w:spacing w:after="480" w:line="360" w:lineRule="auto"/>
        <w:rPr>
          <w:b/>
          <w:sz w:val="24"/>
          <w:szCs w:val="24"/>
        </w:rPr>
      </w:pPr>
      <w:r w:rsidRPr="00BF4EFA">
        <w:rPr>
          <w:b/>
          <w:bCs/>
          <w:color w:val="000000"/>
          <w:sz w:val="24"/>
          <w:szCs w:val="24"/>
        </w:rPr>
        <w:t xml:space="preserve">Evaluation:  </w:t>
      </w:r>
      <w:r w:rsidRPr="00BF4EFA">
        <w:rPr>
          <w:bCs/>
          <w:sz w:val="24"/>
          <w:szCs w:val="24"/>
        </w:rPr>
        <w:t>Intentionally Left Blank</w:t>
      </w:r>
    </w:p>
    <w:p w14:paraId="2C9C14D3" w14:textId="77777777" w:rsidR="00A2665E" w:rsidRPr="00BF4EFA" w:rsidRDefault="00A2665E" w:rsidP="00BE7ABA">
      <w:pPr>
        <w:pStyle w:val="BodyText2"/>
        <w:numPr>
          <w:ilvl w:val="1"/>
          <w:numId w:val="36"/>
        </w:numPr>
        <w:spacing w:after="480" w:line="360" w:lineRule="auto"/>
        <w:ind w:left="1440" w:hanging="634"/>
        <w:outlineLvl w:val="1"/>
        <w:rPr>
          <w:b/>
          <w:sz w:val="24"/>
          <w:szCs w:val="24"/>
        </w:rPr>
      </w:pPr>
      <w:bookmarkStart w:id="10" w:name="_Toc521327535"/>
      <w:r w:rsidRPr="00737FEF">
        <w:rPr>
          <w:b/>
          <w:sz w:val="24"/>
          <w:szCs w:val="24"/>
        </w:rPr>
        <w:t>DEFINITIONS (APPENDIX 1 of the MOU):</w:t>
      </w:r>
      <w:r w:rsidRPr="00BF4EFA">
        <w:rPr>
          <w:b/>
          <w:sz w:val="24"/>
          <w:szCs w:val="24"/>
        </w:rPr>
        <w:t xml:space="preserve"> </w:t>
      </w:r>
      <w:r w:rsidRPr="00BF4EFA">
        <w:rPr>
          <w:sz w:val="24"/>
          <w:szCs w:val="24"/>
        </w:rPr>
        <w:t>The following terms are added:</w:t>
      </w:r>
      <w:bookmarkEnd w:id="10"/>
    </w:p>
    <w:p w14:paraId="7AD7B6DE" w14:textId="3DEF6A75" w:rsidR="00BF4EFA" w:rsidRPr="009B1D45" w:rsidRDefault="00A2665E" w:rsidP="00BF4EFA">
      <w:pPr>
        <w:pStyle w:val="BodyText2"/>
        <w:numPr>
          <w:ilvl w:val="2"/>
          <w:numId w:val="36"/>
        </w:numPr>
        <w:spacing w:after="480" w:line="360" w:lineRule="auto"/>
        <w:ind w:left="2880" w:hanging="360"/>
        <w:rPr>
          <w:sz w:val="24"/>
          <w:szCs w:val="24"/>
        </w:rPr>
      </w:pPr>
      <w:r w:rsidRPr="009B1D45">
        <w:rPr>
          <w:b/>
          <w:bCs/>
          <w:iCs/>
          <w:sz w:val="24"/>
          <w:szCs w:val="24"/>
        </w:rPr>
        <w:t>Region 1</w:t>
      </w:r>
      <w:r w:rsidRPr="009B1D45">
        <w:rPr>
          <w:bCs/>
          <w:iCs/>
          <w:sz w:val="24"/>
          <w:szCs w:val="24"/>
        </w:rPr>
        <w:t>:  The 37 original counties in which the Demonstration began operating in 2013, specifically: Adams, Asotin, Benton, Chelan, Clallam, Clark, Columbia, Cowlitz, Douglas, Ferry, Franklin, Garfield, Grant, Grays Harbor, Island, Jefferson, Kitsap, Kittitas, Klickitat, Lewis, Lincoln, Mason, Okanogan, Pacific, Pend Oreille, Pierce, San Juan, Skagit, Skamania, Spokane, Stevens, Thurston, Wahkiakum, Walla Walla, Whatcom, Whitman, and Yakima counties</w:t>
      </w:r>
    </w:p>
    <w:p w14:paraId="408F6925" w14:textId="77777777" w:rsidR="00A2665E" w:rsidRPr="009B1D45" w:rsidRDefault="00A2665E" w:rsidP="00BF4EFA">
      <w:pPr>
        <w:pStyle w:val="BodyText2"/>
        <w:numPr>
          <w:ilvl w:val="2"/>
          <w:numId w:val="36"/>
        </w:numPr>
        <w:spacing w:after="480" w:line="360" w:lineRule="auto"/>
        <w:ind w:left="2880" w:hanging="360"/>
        <w:rPr>
          <w:sz w:val="24"/>
          <w:szCs w:val="24"/>
        </w:rPr>
      </w:pPr>
      <w:r w:rsidRPr="009B1D45">
        <w:rPr>
          <w:b/>
          <w:sz w:val="24"/>
          <w:szCs w:val="24"/>
        </w:rPr>
        <w:t>Region 2</w:t>
      </w:r>
      <w:r w:rsidRPr="009B1D45">
        <w:rPr>
          <w:sz w:val="24"/>
          <w:szCs w:val="24"/>
        </w:rPr>
        <w:t>:  King and Snohomish counties</w:t>
      </w:r>
    </w:p>
    <w:p w14:paraId="58C18C14" w14:textId="77777777" w:rsidR="00A2665E" w:rsidRPr="00737FEF" w:rsidRDefault="00A2665E" w:rsidP="00BE7ABA">
      <w:pPr>
        <w:pStyle w:val="BodyText2"/>
        <w:numPr>
          <w:ilvl w:val="1"/>
          <w:numId w:val="36"/>
        </w:numPr>
        <w:tabs>
          <w:tab w:val="clear" w:pos="1440"/>
          <w:tab w:val="clear" w:pos="2160"/>
          <w:tab w:val="left" w:pos="1530"/>
          <w:tab w:val="left" w:pos="1620"/>
        </w:tabs>
        <w:spacing w:after="480" w:line="360" w:lineRule="auto"/>
        <w:ind w:left="1454" w:hanging="547"/>
        <w:outlineLvl w:val="1"/>
        <w:rPr>
          <w:b/>
          <w:sz w:val="24"/>
          <w:szCs w:val="24"/>
        </w:rPr>
      </w:pPr>
      <w:bookmarkStart w:id="11" w:name="_Toc521327536"/>
      <w:r w:rsidRPr="00737FEF">
        <w:rPr>
          <w:b/>
          <w:sz w:val="24"/>
          <w:szCs w:val="24"/>
        </w:rPr>
        <w:t>CMS STANDARDS AND CONDITIONS AND SUPPORTING STATE DOCUMENTATION (APPENDIX 2 of the MOU)</w:t>
      </w:r>
      <w:bookmarkEnd w:id="11"/>
    </w:p>
    <w:p w14:paraId="1427BABA" w14:textId="77777777" w:rsidR="00BF4EFA" w:rsidRPr="00BF4EFA" w:rsidRDefault="00BF4EFA" w:rsidP="00BF4EFA">
      <w:pPr>
        <w:pStyle w:val="BodyText2"/>
        <w:tabs>
          <w:tab w:val="clear" w:pos="1440"/>
          <w:tab w:val="clear" w:pos="2160"/>
          <w:tab w:val="left" w:pos="1530"/>
          <w:tab w:val="left" w:pos="1620"/>
        </w:tabs>
        <w:spacing w:after="480" w:line="360" w:lineRule="auto"/>
        <w:ind w:left="900"/>
        <w:rPr>
          <w:sz w:val="24"/>
          <w:szCs w:val="24"/>
        </w:rPr>
      </w:pPr>
      <w:r>
        <w:rPr>
          <w:sz w:val="24"/>
          <w:szCs w:val="24"/>
        </w:rPr>
        <w:t>Intentionally Left Blank</w:t>
      </w:r>
    </w:p>
    <w:p w14:paraId="533334C8" w14:textId="77777777" w:rsidR="00BF4EFA" w:rsidRPr="00737FEF" w:rsidRDefault="00BF4EFA" w:rsidP="00BE7ABA">
      <w:pPr>
        <w:pStyle w:val="BodyText2"/>
        <w:numPr>
          <w:ilvl w:val="1"/>
          <w:numId w:val="36"/>
        </w:numPr>
        <w:tabs>
          <w:tab w:val="clear" w:pos="1440"/>
          <w:tab w:val="clear" w:pos="2160"/>
          <w:tab w:val="left" w:pos="1530"/>
          <w:tab w:val="left" w:pos="1620"/>
        </w:tabs>
        <w:spacing w:after="480" w:line="360" w:lineRule="auto"/>
        <w:ind w:left="1454" w:hanging="547"/>
        <w:outlineLvl w:val="1"/>
        <w:rPr>
          <w:b/>
          <w:sz w:val="24"/>
          <w:szCs w:val="24"/>
        </w:rPr>
      </w:pPr>
      <w:bookmarkStart w:id="12" w:name="_Toc521327537"/>
      <w:r w:rsidRPr="00737FEF">
        <w:rPr>
          <w:b/>
          <w:sz w:val="24"/>
          <w:szCs w:val="24"/>
        </w:rPr>
        <w:t>DETAILS OF THE STATE DEMONSTRATION AREA (APPENDIX 3 OF THE MOU)</w:t>
      </w:r>
      <w:bookmarkEnd w:id="12"/>
    </w:p>
    <w:p w14:paraId="6E7CB3DF" w14:textId="76EC5279" w:rsidR="009B1D45" w:rsidRPr="00C23B70" w:rsidRDefault="00A2665E" w:rsidP="009B1D45">
      <w:pPr>
        <w:pStyle w:val="BodyText2"/>
        <w:numPr>
          <w:ilvl w:val="2"/>
          <w:numId w:val="36"/>
        </w:numPr>
        <w:tabs>
          <w:tab w:val="clear" w:pos="1440"/>
          <w:tab w:val="clear" w:pos="2160"/>
          <w:tab w:val="clear" w:pos="3384"/>
          <w:tab w:val="left" w:pos="1530"/>
          <w:tab w:val="left" w:pos="1620"/>
        </w:tabs>
        <w:spacing w:after="480" w:line="360" w:lineRule="auto"/>
        <w:ind w:left="2880" w:hanging="360"/>
        <w:rPr>
          <w:sz w:val="24"/>
          <w:szCs w:val="24"/>
        </w:rPr>
      </w:pPr>
      <w:r w:rsidRPr="00C23B70">
        <w:rPr>
          <w:sz w:val="24"/>
          <w:szCs w:val="24"/>
        </w:rPr>
        <w:lastRenderedPageBreak/>
        <w:t>As of July 1, 2013, in conjunction with the a</w:t>
      </w:r>
      <w:r w:rsidR="00BF4EFA" w:rsidRPr="00C23B70">
        <w:rPr>
          <w:sz w:val="24"/>
          <w:szCs w:val="24"/>
        </w:rPr>
        <w:t>pproved Health Home SPA #13-</w:t>
      </w:r>
      <w:r w:rsidR="00A97957" w:rsidRPr="00C23B70">
        <w:rPr>
          <w:sz w:val="24"/>
          <w:szCs w:val="24"/>
        </w:rPr>
        <w:t>00</w:t>
      </w:r>
      <w:r w:rsidR="00BF4EFA" w:rsidRPr="00C23B70">
        <w:rPr>
          <w:sz w:val="24"/>
          <w:szCs w:val="24"/>
        </w:rPr>
        <w:t xml:space="preserve">08, </w:t>
      </w:r>
      <w:r w:rsidRPr="00C23B70">
        <w:rPr>
          <w:sz w:val="24"/>
          <w:szCs w:val="24"/>
        </w:rPr>
        <w:t>the Demonstration began operating in the following 14 counties:</w:t>
      </w:r>
    </w:p>
    <w:p w14:paraId="410D5C56" w14:textId="77777777" w:rsidR="009B1D45" w:rsidRDefault="00A2665E" w:rsidP="009B1D45">
      <w:pPr>
        <w:pStyle w:val="BodyText2"/>
        <w:numPr>
          <w:ilvl w:val="3"/>
          <w:numId w:val="36"/>
        </w:numPr>
        <w:tabs>
          <w:tab w:val="clear" w:pos="4320"/>
          <w:tab w:val="left" w:pos="3690"/>
        </w:tabs>
        <w:spacing w:after="480" w:line="360" w:lineRule="auto"/>
        <w:ind w:hanging="1980"/>
        <w:rPr>
          <w:sz w:val="24"/>
          <w:szCs w:val="24"/>
        </w:rPr>
      </w:pPr>
      <w:r w:rsidRPr="009B1D45">
        <w:rPr>
          <w:i/>
          <w:sz w:val="24"/>
          <w:szCs w:val="24"/>
        </w:rPr>
        <w:t>Coverage Area 4:</w:t>
      </w:r>
      <w:r w:rsidRPr="009B1D45">
        <w:rPr>
          <w:sz w:val="24"/>
          <w:szCs w:val="24"/>
        </w:rPr>
        <w:t xml:space="preserve"> Pierce County</w:t>
      </w:r>
    </w:p>
    <w:p w14:paraId="389C1F7E" w14:textId="77777777" w:rsidR="009B1D45" w:rsidRDefault="004C357E" w:rsidP="009B1D45">
      <w:pPr>
        <w:pStyle w:val="BodyText2"/>
        <w:numPr>
          <w:ilvl w:val="3"/>
          <w:numId w:val="36"/>
        </w:numPr>
        <w:tabs>
          <w:tab w:val="clear" w:pos="4320"/>
          <w:tab w:val="left" w:pos="3690"/>
        </w:tabs>
        <w:spacing w:after="480" w:line="360" w:lineRule="auto"/>
        <w:ind w:left="3600" w:hanging="1260"/>
        <w:rPr>
          <w:sz w:val="24"/>
          <w:szCs w:val="24"/>
        </w:rPr>
      </w:pPr>
      <w:r w:rsidRPr="009B1D45">
        <w:rPr>
          <w:i/>
          <w:sz w:val="24"/>
          <w:szCs w:val="24"/>
        </w:rPr>
        <w:t>Coverage Area 5:</w:t>
      </w:r>
      <w:r w:rsidRPr="009B1D45">
        <w:rPr>
          <w:sz w:val="24"/>
          <w:szCs w:val="24"/>
        </w:rPr>
        <w:t xml:space="preserve"> Clark, Cowlitz, Klickitat, Skamania, and Wahkiakum Counties</w:t>
      </w:r>
    </w:p>
    <w:p w14:paraId="5870ECDA" w14:textId="77777777" w:rsidR="004C357E" w:rsidRPr="009B1D45" w:rsidRDefault="004C357E" w:rsidP="009B1D45">
      <w:pPr>
        <w:pStyle w:val="BodyText2"/>
        <w:numPr>
          <w:ilvl w:val="3"/>
          <w:numId w:val="36"/>
        </w:numPr>
        <w:tabs>
          <w:tab w:val="clear" w:pos="4320"/>
          <w:tab w:val="left" w:pos="3690"/>
        </w:tabs>
        <w:spacing w:after="480" w:line="360" w:lineRule="auto"/>
        <w:ind w:left="3690" w:hanging="1350"/>
        <w:rPr>
          <w:sz w:val="24"/>
          <w:szCs w:val="24"/>
        </w:rPr>
      </w:pPr>
      <w:r w:rsidRPr="009B1D45">
        <w:rPr>
          <w:i/>
          <w:sz w:val="24"/>
          <w:szCs w:val="24"/>
        </w:rPr>
        <w:t>Coverage Area 7:</w:t>
      </w:r>
      <w:r w:rsidRPr="009B1D45">
        <w:rPr>
          <w:sz w:val="24"/>
          <w:szCs w:val="24"/>
        </w:rPr>
        <w:t xml:space="preserve"> Asotin, Benton, Columbia, Franklin, Garfield, Kittitas, Walla Walla, and Yakima Counties </w:t>
      </w:r>
    </w:p>
    <w:p w14:paraId="7F3B5D5B" w14:textId="6D5937E7" w:rsidR="004C357E" w:rsidRPr="009B1D45" w:rsidRDefault="004C357E" w:rsidP="009B1D45">
      <w:pPr>
        <w:pStyle w:val="BodyText2"/>
        <w:numPr>
          <w:ilvl w:val="2"/>
          <w:numId w:val="36"/>
        </w:numPr>
        <w:tabs>
          <w:tab w:val="clear" w:pos="2160"/>
          <w:tab w:val="clear" w:pos="2880"/>
          <w:tab w:val="left" w:pos="2790"/>
        </w:tabs>
        <w:spacing w:after="480" w:line="360" w:lineRule="auto"/>
        <w:ind w:left="2790" w:hanging="360"/>
        <w:rPr>
          <w:sz w:val="24"/>
          <w:szCs w:val="24"/>
        </w:rPr>
      </w:pPr>
      <w:r w:rsidRPr="009B1D45">
        <w:rPr>
          <w:sz w:val="24"/>
          <w:szCs w:val="24"/>
        </w:rPr>
        <w:t xml:space="preserve">In addition, starting October 2013, in conjunction with the approved Health Home </w:t>
      </w:r>
      <w:r w:rsidRPr="00C23B70">
        <w:rPr>
          <w:sz w:val="24"/>
          <w:szCs w:val="24"/>
        </w:rPr>
        <w:t>SPA #13-</w:t>
      </w:r>
      <w:r w:rsidR="00A97957" w:rsidRPr="00C23B70">
        <w:rPr>
          <w:sz w:val="24"/>
          <w:szCs w:val="24"/>
        </w:rPr>
        <w:t>00</w:t>
      </w:r>
      <w:r w:rsidRPr="00C23B70">
        <w:rPr>
          <w:sz w:val="24"/>
          <w:szCs w:val="24"/>
        </w:rPr>
        <w:t>17, the Demonstration</w:t>
      </w:r>
      <w:r w:rsidRPr="009B1D45">
        <w:rPr>
          <w:sz w:val="24"/>
          <w:szCs w:val="24"/>
        </w:rPr>
        <w:t xml:space="preserve"> began operating in the following 23 counties:</w:t>
      </w:r>
    </w:p>
    <w:p w14:paraId="2379570F" w14:textId="77777777" w:rsid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1</w:t>
      </w:r>
      <w:r w:rsidRPr="009B1D45">
        <w:rPr>
          <w:sz w:val="24"/>
          <w:szCs w:val="24"/>
        </w:rPr>
        <w:t>: Clallam, Grays Harbor, Jefferson, Kitsap, Lewis, Mason, Pacific, and Thurston Counties</w:t>
      </w:r>
    </w:p>
    <w:p w14:paraId="010D9C9D" w14:textId="77777777" w:rsid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2:</w:t>
      </w:r>
      <w:r w:rsidRPr="009B1D45">
        <w:rPr>
          <w:sz w:val="24"/>
          <w:szCs w:val="24"/>
        </w:rPr>
        <w:t xml:space="preserve"> Island, San Juan, Skagit, and Whatcom Counties</w:t>
      </w:r>
    </w:p>
    <w:p w14:paraId="023DF56D" w14:textId="77777777" w:rsidR="004C357E" w:rsidRP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6:</w:t>
      </w:r>
      <w:r w:rsidRPr="009B1D45">
        <w:rPr>
          <w:sz w:val="24"/>
          <w:szCs w:val="24"/>
        </w:rPr>
        <w:t xml:space="preserve"> Adams, Chelan, Douglas, Grant, Ferry, Lincoln, Okanogan, Pend Oreille, Stevens, Spokane, and Whitman Counties </w:t>
      </w:r>
    </w:p>
    <w:p w14:paraId="1DFD0788" w14:textId="77777777" w:rsidR="009B1D45" w:rsidRDefault="004C357E" w:rsidP="009B1D45">
      <w:pPr>
        <w:pStyle w:val="BodyText2"/>
        <w:numPr>
          <w:ilvl w:val="2"/>
          <w:numId w:val="36"/>
        </w:numPr>
        <w:tabs>
          <w:tab w:val="clear" w:pos="1440"/>
          <w:tab w:val="clear" w:pos="2160"/>
          <w:tab w:val="clear" w:pos="2880"/>
          <w:tab w:val="clear" w:pos="3384"/>
          <w:tab w:val="left" w:pos="2790"/>
        </w:tabs>
        <w:spacing w:after="480" w:line="360" w:lineRule="auto"/>
        <w:ind w:left="2790" w:hanging="360"/>
        <w:rPr>
          <w:sz w:val="24"/>
          <w:szCs w:val="24"/>
        </w:rPr>
      </w:pPr>
      <w:r w:rsidRPr="009B1D45">
        <w:rPr>
          <w:sz w:val="24"/>
          <w:szCs w:val="24"/>
        </w:rPr>
        <w:t>For the purposes of this Final Demonstration Agreement, the above 37 counties are referred to as Region 1.</w:t>
      </w:r>
    </w:p>
    <w:p w14:paraId="0F169C79" w14:textId="748A8CC8" w:rsidR="004C357E" w:rsidRPr="009B1D45" w:rsidRDefault="009B1D45" w:rsidP="009B1D45">
      <w:pPr>
        <w:pStyle w:val="BodyText2"/>
        <w:numPr>
          <w:ilvl w:val="2"/>
          <w:numId w:val="36"/>
        </w:numPr>
        <w:tabs>
          <w:tab w:val="clear" w:pos="1440"/>
          <w:tab w:val="clear" w:pos="2160"/>
          <w:tab w:val="clear" w:pos="2880"/>
          <w:tab w:val="clear" w:pos="3384"/>
          <w:tab w:val="left" w:pos="2790"/>
        </w:tabs>
        <w:spacing w:after="480" w:line="360" w:lineRule="auto"/>
        <w:ind w:left="2790" w:hanging="360"/>
        <w:rPr>
          <w:sz w:val="24"/>
          <w:szCs w:val="24"/>
        </w:rPr>
      </w:pPr>
      <w:r w:rsidRPr="009B1D45">
        <w:rPr>
          <w:sz w:val="24"/>
          <w:szCs w:val="24"/>
        </w:rPr>
        <w:lastRenderedPageBreak/>
        <w:t xml:space="preserve">Beginning April 2017, in conjunction with the approved Health Home SPA #16-0026, the Demonstration began operating in King and Snohomish counties. King County comprises the entirety of Coverage Area 3 and Snohomish County is in Coverage Area 2. </w:t>
      </w:r>
      <w:r w:rsidR="004C357E" w:rsidRPr="009B1D45">
        <w:rPr>
          <w:sz w:val="24"/>
          <w:szCs w:val="24"/>
        </w:rPr>
        <w:t>For the purposes of this Final Demonstration Agreement, King and Snoho</w:t>
      </w:r>
      <w:r w:rsidR="004C357E" w:rsidRPr="002C0784">
        <w:rPr>
          <w:sz w:val="24"/>
          <w:szCs w:val="24"/>
        </w:rPr>
        <w:t>mish counties are referred to as Region 2</w:t>
      </w:r>
      <w:r w:rsidR="00CA160C">
        <w:rPr>
          <w:sz w:val="24"/>
          <w:szCs w:val="24"/>
        </w:rPr>
        <w:t>.</w:t>
      </w:r>
    </w:p>
    <w:p w14:paraId="717D91A7" w14:textId="77777777" w:rsidR="004C357E" w:rsidRDefault="004C357E" w:rsidP="00BE7ABA">
      <w:pPr>
        <w:pStyle w:val="BodyText2"/>
        <w:numPr>
          <w:ilvl w:val="1"/>
          <w:numId w:val="36"/>
        </w:numPr>
        <w:tabs>
          <w:tab w:val="clear" w:pos="2160"/>
          <w:tab w:val="left" w:pos="1530"/>
        </w:tabs>
        <w:spacing w:after="480" w:line="360" w:lineRule="auto"/>
        <w:outlineLvl w:val="1"/>
        <w:rPr>
          <w:b/>
          <w:sz w:val="24"/>
          <w:szCs w:val="24"/>
        </w:rPr>
      </w:pPr>
      <w:bookmarkStart w:id="13" w:name="_Toc521327538"/>
      <w:r w:rsidRPr="00737FEF">
        <w:rPr>
          <w:b/>
          <w:sz w:val="24"/>
          <w:szCs w:val="24"/>
        </w:rPr>
        <w:t>MEDICARE AUTHORITIES AND WAIVERS (APPENDIX 4 of the MOU)</w:t>
      </w:r>
      <w:bookmarkEnd w:id="13"/>
    </w:p>
    <w:p w14:paraId="4EE507B2" w14:textId="5213CDD2" w:rsidR="006C7089" w:rsidRPr="006C7089" w:rsidRDefault="006C7089" w:rsidP="006C7089">
      <w:pPr>
        <w:pStyle w:val="BodyText2"/>
        <w:numPr>
          <w:ilvl w:val="2"/>
          <w:numId w:val="36"/>
        </w:numPr>
        <w:tabs>
          <w:tab w:val="clear" w:pos="2160"/>
          <w:tab w:val="left" w:pos="1530"/>
        </w:tabs>
        <w:spacing w:after="480" w:line="360" w:lineRule="auto"/>
        <w:ind w:left="2880" w:hanging="450"/>
        <w:outlineLvl w:val="1"/>
        <w:rPr>
          <w:sz w:val="24"/>
          <w:szCs w:val="24"/>
        </w:rPr>
      </w:pPr>
      <w:r w:rsidRPr="006C7089">
        <w:rPr>
          <w:sz w:val="24"/>
          <w:szCs w:val="24"/>
        </w:rPr>
        <w:t xml:space="preserve">Waiver of Requirement that Voluntary Identification of Medicare Shared Savings Program ACO Professional as Primary Care Provider Supersedes Claims-Based Assignment </w:t>
      </w:r>
    </w:p>
    <w:p w14:paraId="593576FA" w14:textId="0E4AAA28" w:rsidR="006C7089" w:rsidRPr="006C7089" w:rsidRDefault="006C7089" w:rsidP="006C7089">
      <w:pPr>
        <w:pStyle w:val="BodyText2"/>
        <w:numPr>
          <w:ilvl w:val="3"/>
          <w:numId w:val="36"/>
        </w:numPr>
        <w:tabs>
          <w:tab w:val="clear" w:pos="2160"/>
          <w:tab w:val="clear" w:pos="4320"/>
          <w:tab w:val="left" w:pos="1530"/>
        </w:tabs>
        <w:spacing w:after="480" w:line="360" w:lineRule="auto"/>
        <w:ind w:left="3600" w:hanging="1260"/>
        <w:outlineLvl w:val="1"/>
        <w:rPr>
          <w:b/>
          <w:sz w:val="24"/>
          <w:szCs w:val="24"/>
        </w:rPr>
      </w:pPr>
      <w:r w:rsidRPr="006C7089">
        <w:rPr>
          <w:iCs/>
          <w:sz w:val="24"/>
          <w:szCs w:val="24"/>
        </w:rPr>
        <w:t>Section 1899(c)(2)(B)(i) of the Act requires the Secretary to permit a Medicare</w:t>
      </w:r>
      <w:r w:rsidRPr="006C7089">
        <w:t xml:space="preserve"> </w:t>
      </w:r>
      <w:r w:rsidRPr="006C7089">
        <w:rPr>
          <w:iCs/>
          <w:sz w:val="24"/>
          <w:szCs w:val="24"/>
        </w:rPr>
        <w:t>FFS beneficiary to voluntarily identify a Medicare Shared Savings Program (Shared Savings Program) Accountable Care Organization (ACO) professional,</w:t>
      </w:r>
      <w:r w:rsidRPr="006C7089">
        <w:t xml:space="preserve"> </w:t>
      </w:r>
      <w:r w:rsidRPr="006C7089">
        <w:rPr>
          <w:iCs/>
          <w:sz w:val="24"/>
          <w:szCs w:val="24"/>
        </w:rPr>
        <w:t xml:space="preserve">as that term is defined in </w:t>
      </w:r>
      <w:r w:rsidR="007727E3">
        <w:rPr>
          <w:iCs/>
          <w:sz w:val="24"/>
          <w:szCs w:val="24"/>
        </w:rPr>
        <w:t>section 1899(h)(1)</w:t>
      </w:r>
      <w:r w:rsidRPr="006C7089">
        <w:rPr>
          <w:iCs/>
          <w:sz w:val="24"/>
          <w:szCs w:val="24"/>
        </w:rPr>
        <w:t>, as the beneficiary’s primary care provider for purposes of assignment to a Shared Savings Program ACO</w:t>
      </w:r>
      <w:r w:rsidR="003043BF" w:rsidRPr="006C7089">
        <w:rPr>
          <w:iCs/>
          <w:sz w:val="24"/>
          <w:szCs w:val="24"/>
        </w:rPr>
        <w:t xml:space="preserve">. </w:t>
      </w:r>
      <w:r w:rsidRPr="006C7089">
        <w:rPr>
          <w:iCs/>
          <w:sz w:val="24"/>
          <w:szCs w:val="24"/>
        </w:rPr>
        <w:t>Section</w:t>
      </w:r>
      <w:r w:rsidR="000303D1">
        <w:rPr>
          <w:iCs/>
          <w:sz w:val="24"/>
          <w:szCs w:val="24"/>
        </w:rPr>
        <w:t xml:space="preserve"> </w:t>
      </w:r>
      <w:r w:rsidRPr="006C7089">
        <w:rPr>
          <w:iCs/>
          <w:sz w:val="24"/>
          <w:szCs w:val="24"/>
        </w:rPr>
        <w:t>1899(c)(2)(B)(iii) provides that a beneficiary’s voluntary identification under section 1899(c)(2)(B) supersedes any claims-based assignment otherwise</w:t>
      </w:r>
      <w:r w:rsidRPr="006C7089">
        <w:t xml:space="preserve"> </w:t>
      </w:r>
      <w:r w:rsidRPr="006C7089">
        <w:rPr>
          <w:iCs/>
          <w:sz w:val="24"/>
          <w:szCs w:val="24"/>
        </w:rPr>
        <w:t>determined by the Secretary. In the Medicare Shared Savings Program final rule</w:t>
      </w:r>
      <w:r w:rsidRPr="006C7089">
        <w:t xml:space="preserve"> </w:t>
      </w:r>
      <w:r w:rsidRPr="006C7089">
        <w:rPr>
          <w:iCs/>
          <w:sz w:val="24"/>
          <w:szCs w:val="24"/>
        </w:rPr>
        <w:t xml:space="preserve">that was published in conjunction with the Calendar Year 2019 Physician Fee Schedule final rule, CMS </w:t>
      </w:r>
      <w:r w:rsidRPr="006C7089">
        <w:rPr>
          <w:iCs/>
          <w:sz w:val="24"/>
          <w:szCs w:val="24"/>
        </w:rPr>
        <w:lastRenderedPageBreak/>
        <w:t>adopted an exception to the requirement that a</w:t>
      </w:r>
      <w:r w:rsidRPr="006C7089">
        <w:t xml:space="preserve"> </w:t>
      </w:r>
      <w:r w:rsidRPr="006C7089">
        <w:rPr>
          <w:iCs/>
          <w:sz w:val="24"/>
          <w:szCs w:val="24"/>
        </w:rPr>
        <w:t>beneficiary who has voluntarily identified an ACO professional as their primary</w:t>
      </w:r>
      <w:r w:rsidRPr="006C7089">
        <w:t xml:space="preserve"> </w:t>
      </w:r>
      <w:r w:rsidRPr="006C7089">
        <w:rPr>
          <w:iCs/>
          <w:sz w:val="24"/>
          <w:szCs w:val="24"/>
        </w:rPr>
        <w:t>care provider will remain assigned to the ACO regardless of any otherwise applicable claims-based assignment. Specifically, the agency adopted a policy at</w:t>
      </w:r>
      <w:r w:rsidRPr="006C7089">
        <w:t xml:space="preserve"> </w:t>
      </w:r>
      <w:r w:rsidRPr="006C7089">
        <w:rPr>
          <w:iCs/>
          <w:sz w:val="24"/>
          <w:szCs w:val="24"/>
        </w:rPr>
        <w:t>42 CFR 425.402(e)</w:t>
      </w:r>
      <w:r w:rsidR="000143C9">
        <w:rPr>
          <w:iCs/>
          <w:sz w:val="24"/>
          <w:szCs w:val="24"/>
        </w:rPr>
        <w:t>(2)</w:t>
      </w:r>
      <w:r w:rsidRPr="006C7089">
        <w:rPr>
          <w:iCs/>
          <w:sz w:val="24"/>
          <w:szCs w:val="24"/>
        </w:rPr>
        <w:t>(ii)(D) that, for performance years starting on January 1,</w:t>
      </w:r>
      <w:r w:rsidRPr="006C7089">
        <w:t xml:space="preserve"> </w:t>
      </w:r>
      <w:r w:rsidRPr="006C7089">
        <w:rPr>
          <w:iCs/>
          <w:sz w:val="24"/>
          <w:szCs w:val="24"/>
        </w:rPr>
        <w:t>2019, and subsequent performance years, such a beneficiary would not be</w:t>
      </w:r>
      <w:r w:rsidRPr="006C7089">
        <w:t xml:space="preserve"> </w:t>
      </w:r>
      <w:r w:rsidRPr="006C7089">
        <w:rPr>
          <w:iCs/>
          <w:sz w:val="24"/>
          <w:szCs w:val="24"/>
        </w:rPr>
        <w:t>assigned to the ACO when the beneficiary is assigned to an entity participating in</w:t>
      </w:r>
      <w:r w:rsidRPr="006C7089">
        <w:t xml:space="preserve"> </w:t>
      </w:r>
      <w:r w:rsidRPr="006C7089">
        <w:rPr>
          <w:iCs/>
          <w:sz w:val="24"/>
          <w:szCs w:val="24"/>
        </w:rPr>
        <w:t>a model tested or expanded under section 1115A of the Act under which claims</w:t>
      </w:r>
      <w:r w:rsidR="000E21F8">
        <w:rPr>
          <w:iCs/>
          <w:sz w:val="24"/>
          <w:szCs w:val="24"/>
        </w:rPr>
        <w:t>-</w:t>
      </w:r>
      <w:r w:rsidRPr="006C7089">
        <w:rPr>
          <w:iCs/>
          <w:sz w:val="24"/>
          <w:szCs w:val="24"/>
        </w:rPr>
        <w:t>based</w:t>
      </w:r>
      <w:r w:rsidRPr="00160956">
        <w:rPr>
          <w:sz w:val="24"/>
          <w:szCs w:val="24"/>
        </w:rPr>
        <w:t xml:space="preserve"> a</w:t>
      </w:r>
      <w:r w:rsidRPr="000E21F8">
        <w:rPr>
          <w:iCs/>
          <w:sz w:val="24"/>
          <w:szCs w:val="24"/>
        </w:rPr>
        <w:t xml:space="preserve">ssignment </w:t>
      </w:r>
      <w:r w:rsidRPr="006C7089">
        <w:rPr>
          <w:iCs/>
          <w:sz w:val="24"/>
          <w:szCs w:val="24"/>
        </w:rPr>
        <w:t>is based solely on claims for services other than primary care services and for which there has been a determination by the Secretary that a</w:t>
      </w:r>
      <w:r w:rsidRPr="006C7089">
        <w:t xml:space="preserve"> </w:t>
      </w:r>
      <w:r w:rsidRPr="006C7089">
        <w:rPr>
          <w:iCs/>
          <w:sz w:val="24"/>
          <w:szCs w:val="24"/>
        </w:rPr>
        <w:t>waiver under section 1115A(d)(1) of the Act of the requirement in section</w:t>
      </w:r>
      <w:r w:rsidRPr="006C7089">
        <w:t xml:space="preserve"> </w:t>
      </w:r>
      <w:r w:rsidRPr="006C7089">
        <w:rPr>
          <w:iCs/>
          <w:sz w:val="24"/>
          <w:szCs w:val="24"/>
        </w:rPr>
        <w:t>1899(c)(2)(B) is necessary solely for purposes of testing the model</w:t>
      </w:r>
      <w:r>
        <w:rPr>
          <w:iCs/>
          <w:sz w:val="24"/>
          <w:szCs w:val="24"/>
        </w:rPr>
        <w:t>.</w:t>
      </w:r>
    </w:p>
    <w:p w14:paraId="7934FE23" w14:textId="6FFCEF57" w:rsidR="006C7089" w:rsidRPr="006C7089" w:rsidRDefault="006C7089" w:rsidP="006C7089">
      <w:pPr>
        <w:pStyle w:val="BodyText2"/>
        <w:numPr>
          <w:ilvl w:val="3"/>
          <w:numId w:val="36"/>
        </w:numPr>
        <w:tabs>
          <w:tab w:val="clear" w:pos="2160"/>
          <w:tab w:val="clear" w:pos="4320"/>
          <w:tab w:val="left" w:pos="1530"/>
        </w:tabs>
        <w:spacing w:after="480" w:line="360" w:lineRule="auto"/>
        <w:ind w:left="3600" w:hanging="1260"/>
        <w:outlineLvl w:val="1"/>
        <w:rPr>
          <w:b/>
          <w:sz w:val="24"/>
          <w:szCs w:val="24"/>
        </w:rPr>
      </w:pPr>
      <w:r w:rsidRPr="006C7089">
        <w:rPr>
          <w:iCs/>
          <w:sz w:val="24"/>
          <w:szCs w:val="24"/>
        </w:rPr>
        <w:t>In addition, CMS has determined</w:t>
      </w:r>
      <w:r w:rsidRPr="006C7089">
        <w:t xml:space="preserve"> </w:t>
      </w:r>
      <w:r w:rsidRPr="006C7089">
        <w:rPr>
          <w:iCs/>
          <w:sz w:val="24"/>
          <w:szCs w:val="24"/>
        </w:rPr>
        <w:t>that a waiver under section 1115A(d)(1) of the Act of the requirement in section</w:t>
      </w:r>
      <w:r w:rsidRPr="006C7089">
        <w:t xml:space="preserve"> </w:t>
      </w:r>
      <w:r w:rsidRPr="006C7089">
        <w:rPr>
          <w:iCs/>
          <w:sz w:val="24"/>
          <w:szCs w:val="24"/>
        </w:rPr>
        <w:t>1899(c)(2)(B) that a beneficiary who has voluntarily identified an ACO professional as their primary care provider will remain assigned to the ACO</w:t>
      </w:r>
      <w:r w:rsidRPr="006C7089">
        <w:t xml:space="preserve"> </w:t>
      </w:r>
      <w:r w:rsidRPr="006C7089">
        <w:rPr>
          <w:iCs/>
          <w:sz w:val="24"/>
          <w:szCs w:val="24"/>
        </w:rPr>
        <w:t>regardless of any otherwise applicable claims-based assignment is necessary</w:t>
      </w:r>
      <w:r w:rsidRPr="006C7089">
        <w:t xml:space="preserve"> </w:t>
      </w:r>
      <w:r w:rsidRPr="006C7089">
        <w:rPr>
          <w:iCs/>
          <w:sz w:val="24"/>
          <w:szCs w:val="24"/>
        </w:rPr>
        <w:t>solely for purposes of testing the FAI MFFS model. Section 1899(c)(2)(B) is hereby</w:t>
      </w:r>
      <w:r w:rsidRPr="006C7089">
        <w:t xml:space="preserve"> </w:t>
      </w:r>
      <w:r w:rsidRPr="006C7089">
        <w:rPr>
          <w:iCs/>
          <w:sz w:val="24"/>
          <w:szCs w:val="24"/>
        </w:rPr>
        <w:t xml:space="preserve">waived only to the extent necessary to maintain </w:t>
      </w:r>
      <w:r w:rsidR="000303D1">
        <w:rPr>
          <w:iCs/>
          <w:sz w:val="24"/>
          <w:szCs w:val="24"/>
        </w:rPr>
        <w:t xml:space="preserve">a beneficiary’s </w:t>
      </w:r>
      <w:r w:rsidRPr="006C7089">
        <w:rPr>
          <w:iCs/>
          <w:sz w:val="24"/>
          <w:szCs w:val="24"/>
        </w:rPr>
        <w:t>alignment</w:t>
      </w:r>
      <w:r w:rsidRPr="006C7089">
        <w:t xml:space="preserve"> </w:t>
      </w:r>
      <w:r w:rsidRPr="006C7089">
        <w:rPr>
          <w:iCs/>
          <w:sz w:val="24"/>
          <w:szCs w:val="24"/>
        </w:rPr>
        <w:t xml:space="preserve">to the FAI MFFS model </w:t>
      </w:r>
      <w:r w:rsidRPr="006C7089">
        <w:rPr>
          <w:iCs/>
          <w:sz w:val="24"/>
          <w:szCs w:val="24"/>
        </w:rPr>
        <w:lastRenderedPageBreak/>
        <w:t xml:space="preserve">where that FAI MFFS </w:t>
      </w:r>
      <w:r w:rsidR="00B45993">
        <w:rPr>
          <w:iCs/>
          <w:sz w:val="24"/>
          <w:szCs w:val="24"/>
        </w:rPr>
        <w:t>b</w:t>
      </w:r>
      <w:r w:rsidRPr="006C7089">
        <w:rPr>
          <w:iCs/>
          <w:sz w:val="24"/>
          <w:szCs w:val="24"/>
        </w:rPr>
        <w:t>eneficiary is already aligned to the FAI MFFS model at the</w:t>
      </w:r>
      <w:r w:rsidRPr="006C7089">
        <w:t xml:space="preserve"> </w:t>
      </w:r>
      <w:r w:rsidR="00605A74" w:rsidRPr="006C7089">
        <w:rPr>
          <w:iCs/>
          <w:sz w:val="24"/>
          <w:szCs w:val="24"/>
        </w:rPr>
        <w:t>time,</w:t>
      </w:r>
      <w:r w:rsidRPr="006C7089">
        <w:rPr>
          <w:iCs/>
          <w:sz w:val="24"/>
          <w:szCs w:val="24"/>
        </w:rPr>
        <w:t xml:space="preserve"> he or she voluntarily identifies an ACO professional as his or her primary</w:t>
      </w:r>
      <w:r w:rsidRPr="006C7089">
        <w:t xml:space="preserve"> </w:t>
      </w:r>
      <w:r w:rsidRPr="006C7089">
        <w:rPr>
          <w:iCs/>
          <w:sz w:val="24"/>
          <w:szCs w:val="24"/>
        </w:rPr>
        <w:t xml:space="preserve">care provider. FAI MFFS </w:t>
      </w:r>
      <w:r w:rsidR="00B45993">
        <w:rPr>
          <w:iCs/>
          <w:sz w:val="24"/>
          <w:szCs w:val="24"/>
        </w:rPr>
        <w:t>b</w:t>
      </w:r>
      <w:r w:rsidRPr="006C7089">
        <w:rPr>
          <w:iCs/>
          <w:sz w:val="24"/>
          <w:szCs w:val="24"/>
        </w:rPr>
        <w:t>eneficiaries who voluntarily identify an ACO professional</w:t>
      </w:r>
      <w:r w:rsidRPr="006C7089">
        <w:t xml:space="preserve"> </w:t>
      </w:r>
      <w:r w:rsidRPr="006C7089">
        <w:rPr>
          <w:iCs/>
          <w:sz w:val="24"/>
          <w:szCs w:val="24"/>
        </w:rPr>
        <w:t>as their primary care provider after their alignment to the FAI MFFS model will remain</w:t>
      </w:r>
      <w:r w:rsidRPr="006C7089">
        <w:t xml:space="preserve"> </w:t>
      </w:r>
      <w:r w:rsidRPr="006C7089">
        <w:rPr>
          <w:iCs/>
          <w:sz w:val="24"/>
          <w:szCs w:val="24"/>
        </w:rPr>
        <w:t>aligned to the FAI MFFS model, unless CMS determines such alignment is operationally</w:t>
      </w:r>
      <w:r w:rsidRPr="006C7089">
        <w:t xml:space="preserve"> </w:t>
      </w:r>
      <w:r w:rsidRPr="006C7089">
        <w:rPr>
          <w:iCs/>
          <w:sz w:val="24"/>
          <w:szCs w:val="24"/>
        </w:rPr>
        <w:t>infeasible or the beneficiary is removed from alignment for purposes of</w:t>
      </w:r>
      <w:r w:rsidRPr="006C7089">
        <w:t xml:space="preserve"> </w:t>
      </w:r>
      <w:r w:rsidRPr="006C7089">
        <w:rPr>
          <w:iCs/>
          <w:sz w:val="24"/>
          <w:szCs w:val="24"/>
        </w:rPr>
        <w:t>reconciliation for one or more reasons described above</w:t>
      </w:r>
      <w:r>
        <w:rPr>
          <w:iCs/>
          <w:sz w:val="24"/>
          <w:szCs w:val="24"/>
        </w:rPr>
        <w:t>.</w:t>
      </w:r>
    </w:p>
    <w:p w14:paraId="194BAD78" w14:textId="77777777" w:rsidR="004C357E" w:rsidRPr="00737FEF" w:rsidRDefault="004C357E" w:rsidP="003638D6">
      <w:pPr>
        <w:pStyle w:val="BodyText2"/>
        <w:numPr>
          <w:ilvl w:val="1"/>
          <w:numId w:val="36"/>
        </w:numPr>
        <w:spacing w:after="480" w:line="360" w:lineRule="auto"/>
        <w:ind w:left="1440" w:hanging="720"/>
        <w:outlineLvl w:val="1"/>
        <w:rPr>
          <w:b/>
          <w:sz w:val="24"/>
          <w:szCs w:val="24"/>
        </w:rPr>
      </w:pPr>
      <w:bookmarkStart w:id="14" w:name="_Toc521327539"/>
      <w:r w:rsidRPr="00737FEF">
        <w:rPr>
          <w:b/>
          <w:sz w:val="24"/>
          <w:szCs w:val="24"/>
        </w:rPr>
        <w:t>MEDICAID AUTHORITIES AND WAIVERS (APPENDIX 5 of the MOU)</w:t>
      </w:r>
      <w:bookmarkEnd w:id="14"/>
    </w:p>
    <w:p w14:paraId="074A9E8D" w14:textId="7884FBC5" w:rsidR="009B1D45" w:rsidRDefault="004C357E" w:rsidP="009B1D45">
      <w:pPr>
        <w:pStyle w:val="BodyText2"/>
        <w:numPr>
          <w:ilvl w:val="2"/>
          <w:numId w:val="36"/>
        </w:numPr>
        <w:tabs>
          <w:tab w:val="clear" w:pos="3384"/>
          <w:tab w:val="num" w:pos="2790"/>
        </w:tabs>
        <w:spacing w:after="480" w:line="360" w:lineRule="auto"/>
        <w:ind w:left="2790" w:hanging="360"/>
        <w:rPr>
          <w:sz w:val="24"/>
          <w:szCs w:val="24"/>
        </w:rPr>
      </w:pPr>
      <w:r w:rsidRPr="009B1D45">
        <w:rPr>
          <w:sz w:val="24"/>
          <w:szCs w:val="24"/>
        </w:rPr>
        <w:t xml:space="preserve">On June 28, 2013, CMS </w:t>
      </w:r>
      <w:r w:rsidRPr="00C23B70">
        <w:rPr>
          <w:sz w:val="24"/>
          <w:szCs w:val="24"/>
        </w:rPr>
        <w:t xml:space="preserve">approved Health Home </w:t>
      </w:r>
      <w:r w:rsidRPr="00B17800">
        <w:rPr>
          <w:sz w:val="24"/>
          <w:szCs w:val="24"/>
        </w:rPr>
        <w:t>SPA #13-</w:t>
      </w:r>
      <w:r w:rsidR="00A97957" w:rsidRPr="00B17800">
        <w:rPr>
          <w:sz w:val="24"/>
          <w:szCs w:val="24"/>
        </w:rPr>
        <w:t>00</w:t>
      </w:r>
      <w:r w:rsidRPr="00B17800">
        <w:rPr>
          <w:sz w:val="24"/>
          <w:szCs w:val="24"/>
        </w:rPr>
        <w:t xml:space="preserve">08, </w:t>
      </w:r>
      <w:r w:rsidRPr="00C23B70">
        <w:rPr>
          <w:sz w:val="24"/>
          <w:szCs w:val="24"/>
        </w:rPr>
        <w:t xml:space="preserve">effective July 1, 2013, to authorize implementation of the health home benefit in 14 counties. On December 11, 2013, CMS approved </w:t>
      </w:r>
      <w:r w:rsidRPr="00B17800">
        <w:rPr>
          <w:sz w:val="24"/>
          <w:szCs w:val="24"/>
        </w:rPr>
        <w:t>Health Home SPA</w:t>
      </w:r>
      <w:r w:rsidR="00CB7E5E" w:rsidRPr="00B17800">
        <w:rPr>
          <w:sz w:val="24"/>
          <w:szCs w:val="24"/>
        </w:rPr>
        <w:t xml:space="preserve"> </w:t>
      </w:r>
      <w:r w:rsidRPr="00B17800">
        <w:rPr>
          <w:sz w:val="24"/>
          <w:szCs w:val="24"/>
        </w:rPr>
        <w:t>#13-</w:t>
      </w:r>
      <w:r w:rsidR="00A97957" w:rsidRPr="00B17800">
        <w:rPr>
          <w:sz w:val="24"/>
          <w:szCs w:val="24"/>
        </w:rPr>
        <w:t>00</w:t>
      </w:r>
      <w:r w:rsidRPr="00B17800">
        <w:rPr>
          <w:sz w:val="24"/>
          <w:szCs w:val="24"/>
        </w:rPr>
        <w:t>17</w:t>
      </w:r>
      <w:r w:rsidRPr="00C23B70">
        <w:rPr>
          <w:sz w:val="24"/>
          <w:szCs w:val="24"/>
        </w:rPr>
        <w:t xml:space="preserve">, effective October 1, 2013, to authorize implementation of the health home benefit in 23 additional counties (See Section </w:t>
      </w:r>
      <w:r w:rsidR="00343B91" w:rsidRPr="00C23B70">
        <w:rPr>
          <w:sz w:val="24"/>
          <w:szCs w:val="24"/>
        </w:rPr>
        <w:t>IV.</w:t>
      </w:r>
      <w:r w:rsidRPr="00C23B70">
        <w:rPr>
          <w:sz w:val="24"/>
          <w:szCs w:val="24"/>
        </w:rPr>
        <w:t xml:space="preserve">F). </w:t>
      </w:r>
      <w:r w:rsidR="009B1D45" w:rsidRPr="00C23B70">
        <w:rPr>
          <w:sz w:val="24"/>
          <w:szCs w:val="24"/>
        </w:rPr>
        <w:t>On March 30, 2017, CMS approved Health Home SPA</w:t>
      </w:r>
      <w:r w:rsidR="00CB7E5E" w:rsidRPr="00C23B70">
        <w:rPr>
          <w:sz w:val="24"/>
          <w:szCs w:val="24"/>
        </w:rPr>
        <w:t xml:space="preserve"> </w:t>
      </w:r>
      <w:r w:rsidR="009B1D45" w:rsidRPr="00C23B70">
        <w:rPr>
          <w:sz w:val="24"/>
          <w:szCs w:val="24"/>
        </w:rPr>
        <w:t>#16-0026, effective April 1, 2017, to authorize implementation of the health home benefit in two additional counties</w:t>
      </w:r>
      <w:r w:rsidR="000A35AA" w:rsidRPr="00C23B70">
        <w:rPr>
          <w:sz w:val="24"/>
          <w:szCs w:val="24"/>
        </w:rPr>
        <w:t>, making health home services available statewide</w:t>
      </w:r>
      <w:r w:rsidR="009B1D45" w:rsidRPr="00C23B70">
        <w:rPr>
          <w:sz w:val="24"/>
          <w:szCs w:val="24"/>
        </w:rPr>
        <w:t xml:space="preserve"> (See Section </w:t>
      </w:r>
      <w:r w:rsidR="005B33BB" w:rsidRPr="00C23B70">
        <w:rPr>
          <w:sz w:val="24"/>
          <w:szCs w:val="24"/>
        </w:rPr>
        <w:t>IV.</w:t>
      </w:r>
      <w:r w:rsidR="009B1D45" w:rsidRPr="00C23B70">
        <w:rPr>
          <w:sz w:val="24"/>
          <w:szCs w:val="24"/>
        </w:rPr>
        <w:t xml:space="preserve">F). </w:t>
      </w:r>
      <w:r w:rsidR="00FD75CB">
        <w:rPr>
          <w:sz w:val="24"/>
          <w:szCs w:val="24"/>
        </w:rPr>
        <w:t xml:space="preserve">On November 29, 2018, </w:t>
      </w:r>
      <w:r w:rsidR="00992CF1">
        <w:rPr>
          <w:sz w:val="24"/>
          <w:szCs w:val="24"/>
        </w:rPr>
        <w:t>CMS approved Health Home SPA #18-0028</w:t>
      </w:r>
      <w:r w:rsidR="00FD75CB">
        <w:rPr>
          <w:sz w:val="24"/>
          <w:szCs w:val="24"/>
        </w:rPr>
        <w:t xml:space="preserve"> </w:t>
      </w:r>
      <w:r w:rsidR="00223F20">
        <w:rPr>
          <w:sz w:val="24"/>
          <w:szCs w:val="24"/>
        </w:rPr>
        <w:t xml:space="preserve">and on </w:t>
      </w:r>
      <w:r w:rsidR="001D1A56">
        <w:rPr>
          <w:sz w:val="24"/>
          <w:szCs w:val="24"/>
        </w:rPr>
        <w:t>November 20, 2020</w:t>
      </w:r>
      <w:r w:rsidR="00223F20">
        <w:rPr>
          <w:sz w:val="24"/>
          <w:szCs w:val="24"/>
        </w:rPr>
        <w:t xml:space="preserve">, CMS approved Health Home SPA #20-0031 </w:t>
      </w:r>
      <w:r w:rsidR="00FD75CB">
        <w:rPr>
          <w:sz w:val="24"/>
          <w:szCs w:val="24"/>
        </w:rPr>
        <w:t>to update the methodology used to determine rates for Health Home services</w:t>
      </w:r>
      <w:r w:rsidR="00223F20">
        <w:rPr>
          <w:sz w:val="24"/>
          <w:szCs w:val="24"/>
        </w:rPr>
        <w:t xml:space="preserve"> and resulted in a rate increase.</w:t>
      </w:r>
    </w:p>
    <w:p w14:paraId="54B1456A" w14:textId="04FD3DB7" w:rsidR="004C357E" w:rsidRPr="009B1D45" w:rsidRDefault="004C357E" w:rsidP="009B1D45">
      <w:pPr>
        <w:pStyle w:val="BodyText2"/>
        <w:numPr>
          <w:ilvl w:val="2"/>
          <w:numId w:val="36"/>
        </w:numPr>
        <w:tabs>
          <w:tab w:val="clear" w:pos="3384"/>
          <w:tab w:val="num" w:pos="2790"/>
        </w:tabs>
        <w:spacing w:after="480" w:line="360" w:lineRule="auto"/>
        <w:ind w:left="2790" w:hanging="360"/>
        <w:rPr>
          <w:sz w:val="24"/>
          <w:szCs w:val="24"/>
        </w:rPr>
      </w:pPr>
      <w:r w:rsidRPr="009B1D45">
        <w:rPr>
          <w:bCs/>
          <w:sz w:val="24"/>
          <w:szCs w:val="24"/>
        </w:rPr>
        <w:lastRenderedPageBreak/>
        <w:t>Continued operation and implementation of this Demonstration is contingent on the State’s ongoing compliance with the terms of the approved State Plan.</w:t>
      </w:r>
    </w:p>
    <w:p w14:paraId="2FC0C435" w14:textId="77777777" w:rsidR="004C357E" w:rsidRPr="00737FEF" w:rsidRDefault="004C357E" w:rsidP="00BE7ABA">
      <w:pPr>
        <w:pStyle w:val="BodyText2"/>
        <w:numPr>
          <w:ilvl w:val="1"/>
          <w:numId w:val="36"/>
        </w:numPr>
        <w:spacing w:after="480" w:line="360" w:lineRule="auto"/>
        <w:ind w:left="1440" w:hanging="720"/>
        <w:outlineLvl w:val="1"/>
        <w:rPr>
          <w:b/>
          <w:sz w:val="24"/>
          <w:szCs w:val="24"/>
        </w:rPr>
      </w:pPr>
      <w:bookmarkStart w:id="15" w:name="_Toc521327540"/>
      <w:r w:rsidRPr="00737FEF">
        <w:rPr>
          <w:b/>
          <w:bCs/>
          <w:sz w:val="24"/>
          <w:szCs w:val="24"/>
        </w:rPr>
        <w:t>PERFORMANCE PAYMENTS TO THE STATE (APPENDIX 6 of the MOU)</w:t>
      </w:r>
      <w:bookmarkEnd w:id="15"/>
    </w:p>
    <w:p w14:paraId="1133F0C9" w14:textId="77777777" w:rsidR="004C357E" w:rsidRPr="00B959E3" w:rsidRDefault="004C357E" w:rsidP="00B959E3">
      <w:pPr>
        <w:pStyle w:val="BodyText2"/>
        <w:numPr>
          <w:ilvl w:val="2"/>
          <w:numId w:val="36"/>
        </w:numPr>
        <w:tabs>
          <w:tab w:val="clear" w:pos="3384"/>
          <w:tab w:val="num" w:pos="2790"/>
        </w:tabs>
        <w:spacing w:after="480" w:line="360" w:lineRule="auto"/>
        <w:ind w:left="2790" w:hanging="360"/>
        <w:rPr>
          <w:sz w:val="24"/>
          <w:szCs w:val="24"/>
        </w:rPr>
      </w:pPr>
      <w:r w:rsidRPr="00B959E3">
        <w:rPr>
          <w:b/>
          <w:bCs/>
          <w:color w:val="000000"/>
          <w:sz w:val="24"/>
          <w:szCs w:val="24"/>
        </w:rPr>
        <w:t xml:space="preserve">Demonstration Years: </w:t>
      </w:r>
      <w:r w:rsidRPr="00B959E3">
        <w:rPr>
          <w:sz w:val="24"/>
          <w:szCs w:val="24"/>
        </w:rPr>
        <w:t>Figure 6-1 below outlines the updated Demonstration Years for the purposes of this Agreement.</w:t>
      </w:r>
    </w:p>
    <w:p w14:paraId="10A90618" w14:textId="648ACC3A" w:rsidR="004C357E" w:rsidRPr="004C357E" w:rsidRDefault="004C357E" w:rsidP="004C357E">
      <w:pPr>
        <w:spacing w:after="480"/>
        <w:ind w:firstLine="720"/>
        <w:rPr>
          <w:b/>
        </w:rPr>
      </w:pPr>
      <w:r w:rsidRPr="004C357E">
        <w:rPr>
          <w:b/>
        </w:rPr>
        <w:t>Figure 6-1</w:t>
      </w:r>
      <w:r w:rsidR="003043BF" w:rsidRPr="004C357E">
        <w:rPr>
          <w:b/>
        </w:rPr>
        <w:t xml:space="preserve">. </w:t>
      </w:r>
      <w:r w:rsidRPr="004C357E">
        <w:rPr>
          <w:b/>
        </w:rPr>
        <w:t>Updated Demonstration Year Dates</w:t>
      </w:r>
    </w:p>
    <w:tbl>
      <w:tblPr>
        <w:tblStyle w:val="TableGrid"/>
        <w:tblW w:w="0" w:type="auto"/>
        <w:tblInd w:w="720" w:type="dxa"/>
        <w:tblLook w:val="04A0" w:firstRow="1" w:lastRow="0" w:firstColumn="1" w:lastColumn="0" w:noHBand="0" w:noVBand="1"/>
        <w:tblCaption w:val="Figure 6-1.  Updated Demonstration Year Dates"/>
        <w:tblDescription w:val="Updated Demonstration Year Dates (years one through seven with calendar beginning and ending dates)"/>
      </w:tblPr>
      <w:tblGrid>
        <w:gridCol w:w="2952"/>
        <w:gridCol w:w="4266"/>
      </w:tblGrid>
      <w:tr w:rsidR="004C357E" w14:paraId="546989D0" w14:textId="77777777" w:rsidTr="004C357E">
        <w:trPr>
          <w:trHeight w:val="368"/>
          <w:tblHeader/>
        </w:trPr>
        <w:tc>
          <w:tcPr>
            <w:tcW w:w="2952" w:type="dxa"/>
            <w:tcBorders>
              <w:top w:val="single" w:sz="4" w:space="0" w:color="auto"/>
              <w:left w:val="single" w:sz="4" w:space="0" w:color="auto"/>
              <w:bottom w:val="single" w:sz="4" w:space="0" w:color="auto"/>
              <w:right w:val="single" w:sz="4" w:space="0" w:color="auto"/>
            </w:tcBorders>
            <w:hideMark/>
          </w:tcPr>
          <w:p w14:paraId="3F5B8D9A" w14:textId="77777777" w:rsidR="004C357E" w:rsidRDefault="004C357E" w:rsidP="004C357E">
            <w:pPr>
              <w:pStyle w:val="ListParagraph"/>
              <w:spacing w:after="0" w:line="240" w:lineRule="auto"/>
              <w:jc w:val="center"/>
              <w:rPr>
                <w:b/>
                <w:szCs w:val="24"/>
              </w:rPr>
            </w:pPr>
            <w:r>
              <w:rPr>
                <w:b/>
                <w:szCs w:val="24"/>
              </w:rPr>
              <w:t>Demonstration Year</w:t>
            </w:r>
          </w:p>
        </w:tc>
        <w:tc>
          <w:tcPr>
            <w:tcW w:w="4266" w:type="dxa"/>
            <w:tcBorders>
              <w:top w:val="single" w:sz="4" w:space="0" w:color="auto"/>
              <w:left w:val="single" w:sz="4" w:space="0" w:color="auto"/>
              <w:bottom w:val="single" w:sz="4" w:space="0" w:color="auto"/>
              <w:right w:val="single" w:sz="4" w:space="0" w:color="auto"/>
            </w:tcBorders>
            <w:hideMark/>
          </w:tcPr>
          <w:p w14:paraId="36542057" w14:textId="77777777" w:rsidR="004C357E" w:rsidRDefault="004C357E" w:rsidP="004C357E">
            <w:pPr>
              <w:pStyle w:val="ListParagraph"/>
              <w:spacing w:after="0" w:line="240" w:lineRule="auto"/>
              <w:jc w:val="center"/>
              <w:rPr>
                <w:b/>
                <w:szCs w:val="24"/>
              </w:rPr>
            </w:pPr>
            <w:r>
              <w:rPr>
                <w:b/>
                <w:szCs w:val="24"/>
              </w:rPr>
              <w:t>Calendar Dates</w:t>
            </w:r>
          </w:p>
        </w:tc>
      </w:tr>
      <w:tr w:rsidR="004C357E" w14:paraId="323A7E36" w14:textId="77777777" w:rsidTr="00737FEF">
        <w:trPr>
          <w:trHeight w:val="197"/>
        </w:trPr>
        <w:tc>
          <w:tcPr>
            <w:tcW w:w="2952" w:type="dxa"/>
            <w:tcBorders>
              <w:top w:val="single" w:sz="4" w:space="0" w:color="auto"/>
              <w:left w:val="single" w:sz="4" w:space="0" w:color="auto"/>
              <w:bottom w:val="single" w:sz="4" w:space="0" w:color="auto"/>
              <w:right w:val="single" w:sz="4" w:space="0" w:color="auto"/>
            </w:tcBorders>
            <w:hideMark/>
          </w:tcPr>
          <w:p w14:paraId="6FD8D317" w14:textId="77777777" w:rsidR="004C357E" w:rsidRDefault="004C357E" w:rsidP="004C357E">
            <w:pPr>
              <w:pStyle w:val="ListParagraph"/>
              <w:spacing w:after="0" w:line="240" w:lineRule="auto"/>
              <w:jc w:val="center"/>
              <w:rPr>
                <w:szCs w:val="24"/>
              </w:rPr>
            </w:pPr>
            <w:r>
              <w:rPr>
                <w:szCs w:val="24"/>
              </w:rPr>
              <w:t>1</w:t>
            </w:r>
          </w:p>
        </w:tc>
        <w:tc>
          <w:tcPr>
            <w:tcW w:w="4266" w:type="dxa"/>
            <w:tcBorders>
              <w:top w:val="single" w:sz="4" w:space="0" w:color="auto"/>
              <w:left w:val="single" w:sz="4" w:space="0" w:color="auto"/>
              <w:bottom w:val="single" w:sz="4" w:space="0" w:color="auto"/>
              <w:right w:val="single" w:sz="4" w:space="0" w:color="auto"/>
            </w:tcBorders>
            <w:hideMark/>
          </w:tcPr>
          <w:p w14:paraId="6C271416" w14:textId="77777777" w:rsidR="004C357E" w:rsidRDefault="004C357E" w:rsidP="004C357E">
            <w:pPr>
              <w:pStyle w:val="ListParagraph"/>
              <w:spacing w:after="0" w:line="240" w:lineRule="auto"/>
              <w:jc w:val="center"/>
              <w:rPr>
                <w:szCs w:val="24"/>
              </w:rPr>
            </w:pPr>
            <w:r>
              <w:rPr>
                <w:szCs w:val="24"/>
              </w:rPr>
              <w:t>July 1, 2013 – December 31, 2014</w:t>
            </w:r>
          </w:p>
        </w:tc>
      </w:tr>
      <w:tr w:rsidR="004C357E" w14:paraId="19EA55CE" w14:textId="77777777" w:rsidTr="004C357E">
        <w:trPr>
          <w:trHeight w:val="314"/>
        </w:trPr>
        <w:tc>
          <w:tcPr>
            <w:tcW w:w="2952" w:type="dxa"/>
            <w:tcBorders>
              <w:top w:val="single" w:sz="4" w:space="0" w:color="auto"/>
              <w:left w:val="single" w:sz="4" w:space="0" w:color="auto"/>
              <w:bottom w:val="single" w:sz="4" w:space="0" w:color="auto"/>
              <w:right w:val="single" w:sz="4" w:space="0" w:color="auto"/>
            </w:tcBorders>
            <w:hideMark/>
          </w:tcPr>
          <w:p w14:paraId="0908BEF4" w14:textId="77777777" w:rsidR="004C357E" w:rsidRDefault="004C357E" w:rsidP="004C357E">
            <w:pPr>
              <w:pStyle w:val="ListParagraph"/>
              <w:spacing w:after="0" w:line="240" w:lineRule="auto"/>
              <w:jc w:val="center"/>
              <w:rPr>
                <w:szCs w:val="24"/>
              </w:rPr>
            </w:pPr>
            <w:r>
              <w:rPr>
                <w:szCs w:val="24"/>
              </w:rPr>
              <w:t>2</w:t>
            </w:r>
          </w:p>
        </w:tc>
        <w:tc>
          <w:tcPr>
            <w:tcW w:w="4266" w:type="dxa"/>
            <w:tcBorders>
              <w:top w:val="single" w:sz="4" w:space="0" w:color="auto"/>
              <w:left w:val="single" w:sz="4" w:space="0" w:color="auto"/>
              <w:bottom w:val="single" w:sz="4" w:space="0" w:color="auto"/>
              <w:right w:val="single" w:sz="4" w:space="0" w:color="auto"/>
            </w:tcBorders>
            <w:hideMark/>
          </w:tcPr>
          <w:p w14:paraId="2F92483F" w14:textId="77777777" w:rsidR="004C357E" w:rsidRDefault="004C357E" w:rsidP="004C357E">
            <w:pPr>
              <w:pStyle w:val="ListParagraph"/>
              <w:spacing w:after="0" w:line="240" w:lineRule="auto"/>
              <w:jc w:val="center"/>
              <w:rPr>
                <w:szCs w:val="24"/>
              </w:rPr>
            </w:pPr>
            <w:r>
              <w:rPr>
                <w:szCs w:val="24"/>
              </w:rPr>
              <w:t>January 1, 2015 – December 31, 2015</w:t>
            </w:r>
          </w:p>
        </w:tc>
      </w:tr>
      <w:tr w:rsidR="004C357E" w14:paraId="4F9FDAF7"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DEA8D29" w14:textId="77777777" w:rsidR="004C357E" w:rsidRDefault="004C357E" w:rsidP="004C357E">
            <w:pPr>
              <w:pStyle w:val="ListParagraph"/>
              <w:spacing w:after="0" w:line="240" w:lineRule="auto"/>
              <w:jc w:val="center"/>
              <w:rPr>
                <w:szCs w:val="24"/>
              </w:rPr>
            </w:pPr>
            <w:r>
              <w:rPr>
                <w:szCs w:val="24"/>
              </w:rPr>
              <w:t>3</w:t>
            </w:r>
          </w:p>
        </w:tc>
        <w:tc>
          <w:tcPr>
            <w:tcW w:w="4266" w:type="dxa"/>
            <w:tcBorders>
              <w:top w:val="single" w:sz="4" w:space="0" w:color="auto"/>
              <w:left w:val="single" w:sz="4" w:space="0" w:color="auto"/>
              <w:bottom w:val="single" w:sz="4" w:space="0" w:color="auto"/>
              <w:right w:val="single" w:sz="4" w:space="0" w:color="auto"/>
            </w:tcBorders>
            <w:hideMark/>
          </w:tcPr>
          <w:p w14:paraId="3A36491E" w14:textId="77777777" w:rsidR="004C357E" w:rsidRDefault="004C357E" w:rsidP="004C357E">
            <w:pPr>
              <w:pStyle w:val="ListParagraph"/>
              <w:spacing w:after="0" w:line="240" w:lineRule="auto"/>
              <w:jc w:val="center"/>
              <w:rPr>
                <w:szCs w:val="24"/>
              </w:rPr>
            </w:pPr>
            <w:r>
              <w:rPr>
                <w:szCs w:val="24"/>
              </w:rPr>
              <w:t>January 1, 2016 – December 31, 2016</w:t>
            </w:r>
          </w:p>
        </w:tc>
      </w:tr>
      <w:tr w:rsidR="004C357E" w14:paraId="6E47A0C9"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2A0121E" w14:textId="77777777" w:rsidR="004C357E" w:rsidRDefault="004C357E" w:rsidP="004C357E">
            <w:pPr>
              <w:pStyle w:val="ListParagraph"/>
              <w:spacing w:after="0" w:line="240" w:lineRule="auto"/>
              <w:jc w:val="center"/>
              <w:rPr>
                <w:szCs w:val="24"/>
              </w:rPr>
            </w:pPr>
            <w:r>
              <w:rPr>
                <w:szCs w:val="24"/>
              </w:rPr>
              <w:t>4</w:t>
            </w:r>
          </w:p>
        </w:tc>
        <w:tc>
          <w:tcPr>
            <w:tcW w:w="4266" w:type="dxa"/>
            <w:tcBorders>
              <w:top w:val="single" w:sz="4" w:space="0" w:color="auto"/>
              <w:left w:val="single" w:sz="4" w:space="0" w:color="auto"/>
              <w:bottom w:val="single" w:sz="4" w:space="0" w:color="auto"/>
              <w:right w:val="single" w:sz="4" w:space="0" w:color="auto"/>
            </w:tcBorders>
            <w:hideMark/>
          </w:tcPr>
          <w:p w14:paraId="11E3E151" w14:textId="77777777" w:rsidR="004C357E" w:rsidRDefault="004C357E" w:rsidP="004C357E">
            <w:pPr>
              <w:pStyle w:val="ListParagraph"/>
              <w:spacing w:after="0" w:line="240" w:lineRule="auto"/>
              <w:jc w:val="center"/>
              <w:rPr>
                <w:szCs w:val="24"/>
              </w:rPr>
            </w:pPr>
            <w:r>
              <w:rPr>
                <w:szCs w:val="24"/>
              </w:rPr>
              <w:t>January 1, 2017 – December 31, 2017</w:t>
            </w:r>
          </w:p>
        </w:tc>
      </w:tr>
      <w:tr w:rsidR="004C357E" w14:paraId="5BD039BA"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CF04058" w14:textId="77777777" w:rsidR="004C357E" w:rsidRDefault="004C357E" w:rsidP="004C357E">
            <w:pPr>
              <w:pStyle w:val="ListParagraph"/>
              <w:spacing w:after="0" w:line="240" w:lineRule="auto"/>
              <w:jc w:val="center"/>
              <w:rPr>
                <w:szCs w:val="24"/>
              </w:rPr>
            </w:pPr>
            <w:r>
              <w:rPr>
                <w:szCs w:val="24"/>
              </w:rPr>
              <w:t>5</w:t>
            </w:r>
          </w:p>
        </w:tc>
        <w:tc>
          <w:tcPr>
            <w:tcW w:w="4266" w:type="dxa"/>
            <w:tcBorders>
              <w:top w:val="single" w:sz="4" w:space="0" w:color="auto"/>
              <w:left w:val="single" w:sz="4" w:space="0" w:color="auto"/>
              <w:bottom w:val="single" w:sz="4" w:space="0" w:color="auto"/>
              <w:right w:val="single" w:sz="4" w:space="0" w:color="auto"/>
            </w:tcBorders>
            <w:hideMark/>
          </w:tcPr>
          <w:p w14:paraId="37E15D97" w14:textId="77777777" w:rsidR="004C357E" w:rsidRDefault="004C357E" w:rsidP="004C357E">
            <w:pPr>
              <w:pStyle w:val="ListParagraph"/>
              <w:spacing w:after="0" w:line="240" w:lineRule="auto"/>
              <w:jc w:val="center"/>
              <w:rPr>
                <w:szCs w:val="24"/>
              </w:rPr>
            </w:pPr>
            <w:r>
              <w:rPr>
                <w:szCs w:val="24"/>
              </w:rPr>
              <w:t>January 1, 2018 – December 31, 2018</w:t>
            </w:r>
          </w:p>
        </w:tc>
      </w:tr>
      <w:tr w:rsidR="00B959E3" w14:paraId="4331F31C" w14:textId="77777777" w:rsidTr="00B959E3">
        <w:tc>
          <w:tcPr>
            <w:tcW w:w="2952" w:type="dxa"/>
            <w:tcBorders>
              <w:top w:val="single" w:sz="4" w:space="0" w:color="auto"/>
              <w:left w:val="single" w:sz="4" w:space="0" w:color="auto"/>
              <w:bottom w:val="single" w:sz="4" w:space="0" w:color="auto"/>
              <w:right w:val="single" w:sz="4" w:space="0" w:color="auto"/>
            </w:tcBorders>
          </w:tcPr>
          <w:p w14:paraId="5E438689" w14:textId="77777777" w:rsidR="00B959E3" w:rsidRDefault="00B959E3" w:rsidP="00B959E3">
            <w:pPr>
              <w:pStyle w:val="ListParagraph"/>
              <w:spacing w:after="0" w:line="240" w:lineRule="auto"/>
              <w:jc w:val="center"/>
              <w:rPr>
                <w:szCs w:val="24"/>
              </w:rPr>
            </w:pPr>
            <w:r>
              <w:rPr>
                <w:szCs w:val="24"/>
              </w:rPr>
              <w:t>6</w:t>
            </w:r>
          </w:p>
        </w:tc>
        <w:tc>
          <w:tcPr>
            <w:tcW w:w="4266" w:type="dxa"/>
            <w:tcBorders>
              <w:top w:val="single" w:sz="4" w:space="0" w:color="auto"/>
              <w:left w:val="single" w:sz="4" w:space="0" w:color="auto"/>
              <w:bottom w:val="single" w:sz="4" w:space="0" w:color="auto"/>
              <w:right w:val="single" w:sz="4" w:space="0" w:color="auto"/>
            </w:tcBorders>
          </w:tcPr>
          <w:p w14:paraId="5F8D1A2C" w14:textId="77777777" w:rsidR="00B959E3" w:rsidRDefault="00B959E3" w:rsidP="00B959E3">
            <w:pPr>
              <w:pStyle w:val="ListParagraph"/>
              <w:spacing w:after="0" w:line="240" w:lineRule="auto"/>
              <w:jc w:val="center"/>
              <w:rPr>
                <w:szCs w:val="24"/>
              </w:rPr>
            </w:pPr>
            <w:r>
              <w:rPr>
                <w:szCs w:val="24"/>
              </w:rPr>
              <w:t>January 1, 2019 – December 31, 2019</w:t>
            </w:r>
          </w:p>
        </w:tc>
      </w:tr>
      <w:tr w:rsidR="00B959E3" w14:paraId="6BDC7028" w14:textId="77777777" w:rsidTr="00B959E3">
        <w:tc>
          <w:tcPr>
            <w:tcW w:w="2952" w:type="dxa"/>
            <w:tcBorders>
              <w:top w:val="single" w:sz="4" w:space="0" w:color="auto"/>
              <w:left w:val="single" w:sz="4" w:space="0" w:color="auto"/>
              <w:bottom w:val="single" w:sz="4" w:space="0" w:color="auto"/>
              <w:right w:val="single" w:sz="4" w:space="0" w:color="auto"/>
            </w:tcBorders>
          </w:tcPr>
          <w:p w14:paraId="6E484CF0" w14:textId="77777777" w:rsidR="00B959E3" w:rsidRPr="0041676F" w:rsidRDefault="00B959E3" w:rsidP="00B959E3">
            <w:pPr>
              <w:pStyle w:val="ListParagraph"/>
              <w:spacing w:after="0" w:line="240" w:lineRule="auto"/>
              <w:jc w:val="center"/>
              <w:rPr>
                <w:szCs w:val="24"/>
              </w:rPr>
            </w:pPr>
            <w:r w:rsidRPr="0041676F">
              <w:rPr>
                <w:szCs w:val="24"/>
              </w:rPr>
              <w:t>7</w:t>
            </w:r>
          </w:p>
        </w:tc>
        <w:tc>
          <w:tcPr>
            <w:tcW w:w="4266" w:type="dxa"/>
            <w:tcBorders>
              <w:top w:val="single" w:sz="4" w:space="0" w:color="auto"/>
              <w:left w:val="single" w:sz="4" w:space="0" w:color="auto"/>
              <w:bottom w:val="single" w:sz="4" w:space="0" w:color="auto"/>
              <w:right w:val="single" w:sz="4" w:space="0" w:color="auto"/>
            </w:tcBorders>
          </w:tcPr>
          <w:p w14:paraId="66BC963C" w14:textId="77777777" w:rsidR="00B959E3" w:rsidRPr="0041676F" w:rsidRDefault="00B959E3" w:rsidP="00B959E3">
            <w:pPr>
              <w:pStyle w:val="ListParagraph"/>
              <w:spacing w:after="0" w:line="240" w:lineRule="auto"/>
              <w:jc w:val="center"/>
              <w:rPr>
                <w:szCs w:val="24"/>
              </w:rPr>
            </w:pPr>
            <w:r w:rsidRPr="0041676F">
              <w:rPr>
                <w:szCs w:val="24"/>
              </w:rPr>
              <w:t>January 1, 2020 – December 31, 2020</w:t>
            </w:r>
          </w:p>
        </w:tc>
      </w:tr>
      <w:tr w:rsidR="00B749D3" w14:paraId="73F298A4" w14:textId="77777777" w:rsidTr="00B959E3">
        <w:tc>
          <w:tcPr>
            <w:tcW w:w="2952" w:type="dxa"/>
            <w:tcBorders>
              <w:top w:val="single" w:sz="4" w:space="0" w:color="auto"/>
              <w:left w:val="single" w:sz="4" w:space="0" w:color="auto"/>
              <w:bottom w:val="single" w:sz="4" w:space="0" w:color="auto"/>
              <w:right w:val="single" w:sz="4" w:space="0" w:color="auto"/>
            </w:tcBorders>
          </w:tcPr>
          <w:p w14:paraId="0D646F33" w14:textId="37F49CA0" w:rsidR="00B749D3" w:rsidRPr="0041676F" w:rsidRDefault="00B749D3" w:rsidP="00B959E3">
            <w:pPr>
              <w:pStyle w:val="ListParagraph"/>
              <w:spacing w:after="0" w:line="240" w:lineRule="auto"/>
              <w:jc w:val="center"/>
              <w:rPr>
                <w:szCs w:val="24"/>
              </w:rPr>
            </w:pPr>
            <w:r w:rsidRPr="0041676F">
              <w:rPr>
                <w:szCs w:val="24"/>
              </w:rPr>
              <w:t>8</w:t>
            </w:r>
          </w:p>
        </w:tc>
        <w:tc>
          <w:tcPr>
            <w:tcW w:w="4266" w:type="dxa"/>
            <w:tcBorders>
              <w:top w:val="single" w:sz="4" w:space="0" w:color="auto"/>
              <w:left w:val="single" w:sz="4" w:space="0" w:color="auto"/>
              <w:bottom w:val="single" w:sz="4" w:space="0" w:color="auto"/>
              <w:right w:val="single" w:sz="4" w:space="0" w:color="auto"/>
            </w:tcBorders>
          </w:tcPr>
          <w:p w14:paraId="610ABC9C" w14:textId="45A669C6" w:rsidR="00B749D3" w:rsidRPr="0041676F" w:rsidRDefault="00B749D3" w:rsidP="00B959E3">
            <w:pPr>
              <w:pStyle w:val="ListParagraph"/>
              <w:spacing w:after="0" w:line="240" w:lineRule="auto"/>
              <w:jc w:val="center"/>
              <w:rPr>
                <w:szCs w:val="24"/>
              </w:rPr>
            </w:pPr>
            <w:r w:rsidRPr="0041676F">
              <w:rPr>
                <w:szCs w:val="24"/>
              </w:rPr>
              <w:t>January 1, 2021 – December 31, 2021</w:t>
            </w:r>
          </w:p>
        </w:tc>
      </w:tr>
      <w:tr w:rsidR="00B749D3" w14:paraId="3B7670A1" w14:textId="77777777" w:rsidTr="00B959E3">
        <w:tc>
          <w:tcPr>
            <w:tcW w:w="2952" w:type="dxa"/>
            <w:tcBorders>
              <w:top w:val="single" w:sz="4" w:space="0" w:color="auto"/>
              <w:left w:val="single" w:sz="4" w:space="0" w:color="auto"/>
              <w:bottom w:val="single" w:sz="4" w:space="0" w:color="auto"/>
              <w:right w:val="single" w:sz="4" w:space="0" w:color="auto"/>
            </w:tcBorders>
          </w:tcPr>
          <w:p w14:paraId="77F77499" w14:textId="03393ED5" w:rsidR="00B749D3" w:rsidRPr="0041676F" w:rsidRDefault="00B749D3" w:rsidP="00B959E3">
            <w:pPr>
              <w:pStyle w:val="ListParagraph"/>
              <w:spacing w:after="0" w:line="240" w:lineRule="auto"/>
              <w:jc w:val="center"/>
              <w:rPr>
                <w:szCs w:val="24"/>
              </w:rPr>
            </w:pPr>
            <w:r w:rsidRPr="0041676F">
              <w:rPr>
                <w:szCs w:val="24"/>
              </w:rPr>
              <w:t>9</w:t>
            </w:r>
          </w:p>
        </w:tc>
        <w:tc>
          <w:tcPr>
            <w:tcW w:w="4266" w:type="dxa"/>
            <w:tcBorders>
              <w:top w:val="single" w:sz="4" w:space="0" w:color="auto"/>
              <w:left w:val="single" w:sz="4" w:space="0" w:color="auto"/>
              <w:bottom w:val="single" w:sz="4" w:space="0" w:color="auto"/>
              <w:right w:val="single" w:sz="4" w:space="0" w:color="auto"/>
            </w:tcBorders>
          </w:tcPr>
          <w:p w14:paraId="6B41195A" w14:textId="262D1C9D" w:rsidR="00B749D3" w:rsidRPr="0041676F" w:rsidRDefault="00B749D3" w:rsidP="00B959E3">
            <w:pPr>
              <w:pStyle w:val="ListParagraph"/>
              <w:spacing w:after="0" w:line="240" w:lineRule="auto"/>
              <w:jc w:val="center"/>
              <w:rPr>
                <w:szCs w:val="24"/>
              </w:rPr>
            </w:pPr>
            <w:r w:rsidRPr="0041676F">
              <w:rPr>
                <w:szCs w:val="24"/>
              </w:rPr>
              <w:t>January 1, 2022 – December 31, 2022</w:t>
            </w:r>
          </w:p>
        </w:tc>
      </w:tr>
      <w:tr w:rsidR="00B82ABB" w14:paraId="03239EBE" w14:textId="77777777" w:rsidTr="00B959E3">
        <w:tc>
          <w:tcPr>
            <w:tcW w:w="2952" w:type="dxa"/>
            <w:tcBorders>
              <w:top w:val="single" w:sz="4" w:space="0" w:color="auto"/>
              <w:left w:val="single" w:sz="4" w:space="0" w:color="auto"/>
              <w:bottom w:val="single" w:sz="4" w:space="0" w:color="auto"/>
              <w:right w:val="single" w:sz="4" w:space="0" w:color="auto"/>
            </w:tcBorders>
          </w:tcPr>
          <w:p w14:paraId="72D67AA1" w14:textId="5D8BC3D0" w:rsidR="00B82ABB" w:rsidRPr="0041676F" w:rsidRDefault="00B82ABB" w:rsidP="00B959E3">
            <w:pPr>
              <w:pStyle w:val="ListParagraph"/>
              <w:spacing w:after="0" w:line="240" w:lineRule="auto"/>
              <w:jc w:val="center"/>
              <w:rPr>
                <w:szCs w:val="24"/>
              </w:rPr>
            </w:pPr>
            <w:r>
              <w:rPr>
                <w:szCs w:val="24"/>
              </w:rPr>
              <w:t>10</w:t>
            </w:r>
          </w:p>
        </w:tc>
        <w:tc>
          <w:tcPr>
            <w:tcW w:w="4266" w:type="dxa"/>
            <w:tcBorders>
              <w:top w:val="single" w:sz="4" w:space="0" w:color="auto"/>
              <w:left w:val="single" w:sz="4" w:space="0" w:color="auto"/>
              <w:bottom w:val="single" w:sz="4" w:space="0" w:color="auto"/>
              <w:right w:val="single" w:sz="4" w:space="0" w:color="auto"/>
            </w:tcBorders>
          </w:tcPr>
          <w:p w14:paraId="292B7491" w14:textId="2DD42DCD" w:rsidR="00B82ABB" w:rsidRPr="0041676F" w:rsidRDefault="00B82ABB" w:rsidP="00B959E3">
            <w:pPr>
              <w:pStyle w:val="ListParagraph"/>
              <w:spacing w:after="0" w:line="240" w:lineRule="auto"/>
              <w:jc w:val="center"/>
              <w:rPr>
                <w:szCs w:val="24"/>
              </w:rPr>
            </w:pPr>
            <w:r>
              <w:rPr>
                <w:szCs w:val="24"/>
              </w:rPr>
              <w:t>January 1, 2023 – December 31, 2023</w:t>
            </w:r>
          </w:p>
        </w:tc>
      </w:tr>
      <w:tr w:rsidR="00624044" w14:paraId="1C668A33" w14:textId="77777777" w:rsidTr="00B959E3">
        <w:tc>
          <w:tcPr>
            <w:tcW w:w="2952" w:type="dxa"/>
            <w:tcBorders>
              <w:top w:val="single" w:sz="4" w:space="0" w:color="auto"/>
              <w:left w:val="single" w:sz="4" w:space="0" w:color="auto"/>
              <w:bottom w:val="single" w:sz="4" w:space="0" w:color="auto"/>
              <w:right w:val="single" w:sz="4" w:space="0" w:color="auto"/>
            </w:tcBorders>
          </w:tcPr>
          <w:p w14:paraId="026A1C1E" w14:textId="35369E6D" w:rsidR="00624044" w:rsidRDefault="00624044" w:rsidP="00B959E3">
            <w:pPr>
              <w:pStyle w:val="ListParagraph"/>
              <w:spacing w:after="0" w:line="240" w:lineRule="auto"/>
              <w:jc w:val="center"/>
              <w:rPr>
                <w:szCs w:val="24"/>
              </w:rPr>
            </w:pPr>
            <w:r>
              <w:rPr>
                <w:szCs w:val="24"/>
              </w:rPr>
              <w:t>11</w:t>
            </w:r>
          </w:p>
        </w:tc>
        <w:tc>
          <w:tcPr>
            <w:tcW w:w="4266" w:type="dxa"/>
            <w:tcBorders>
              <w:top w:val="single" w:sz="4" w:space="0" w:color="auto"/>
              <w:left w:val="single" w:sz="4" w:space="0" w:color="auto"/>
              <w:bottom w:val="single" w:sz="4" w:space="0" w:color="auto"/>
              <w:right w:val="single" w:sz="4" w:space="0" w:color="auto"/>
            </w:tcBorders>
          </w:tcPr>
          <w:p w14:paraId="3BC5554F" w14:textId="13A4EA07" w:rsidR="00624044" w:rsidRDefault="00624044" w:rsidP="00B959E3">
            <w:pPr>
              <w:pStyle w:val="ListParagraph"/>
              <w:spacing w:after="0" w:line="240" w:lineRule="auto"/>
              <w:jc w:val="center"/>
              <w:rPr>
                <w:szCs w:val="24"/>
              </w:rPr>
            </w:pPr>
            <w:r>
              <w:rPr>
                <w:szCs w:val="24"/>
              </w:rPr>
              <w:t>January 1, 2024 – December 31, 2024</w:t>
            </w:r>
          </w:p>
        </w:tc>
      </w:tr>
    </w:tbl>
    <w:p w14:paraId="02C7B21C" w14:textId="77777777" w:rsidR="004C357E" w:rsidRPr="004C357E" w:rsidRDefault="004C357E" w:rsidP="004C357E">
      <w:pPr>
        <w:pStyle w:val="BodyText2"/>
        <w:spacing w:after="480" w:line="360" w:lineRule="auto"/>
        <w:ind w:left="3456"/>
        <w:rPr>
          <w:sz w:val="24"/>
          <w:szCs w:val="24"/>
        </w:rPr>
      </w:pPr>
    </w:p>
    <w:p w14:paraId="42088E26" w14:textId="5D28C406" w:rsidR="004C357E" w:rsidRPr="00F95EBB" w:rsidRDefault="004C357E" w:rsidP="00B959E3">
      <w:pPr>
        <w:pStyle w:val="BodyText2"/>
        <w:numPr>
          <w:ilvl w:val="2"/>
          <w:numId w:val="36"/>
        </w:numPr>
        <w:tabs>
          <w:tab w:val="clear" w:pos="3384"/>
          <w:tab w:val="num" w:pos="2790"/>
        </w:tabs>
        <w:spacing w:after="480" w:line="360" w:lineRule="auto"/>
        <w:ind w:left="2790" w:hanging="360"/>
        <w:rPr>
          <w:sz w:val="24"/>
          <w:szCs w:val="24"/>
        </w:rPr>
      </w:pPr>
      <w:r w:rsidRPr="00B959E3">
        <w:rPr>
          <w:b/>
          <w:bCs/>
          <w:color w:val="000000"/>
          <w:sz w:val="24"/>
          <w:szCs w:val="24"/>
        </w:rPr>
        <w:t xml:space="preserve">Savings Calculation Detail: </w:t>
      </w:r>
      <w:r w:rsidRPr="00B959E3">
        <w:rPr>
          <w:sz w:val="24"/>
          <w:szCs w:val="24"/>
        </w:rPr>
        <w:t xml:space="preserve">After each year of the Demonstration, the Evaluation Contractor will perform a calculation to determine whether the Demonstration achieved savings, and the amount of any savings. The calculation will determine the difference in per beneficiary per month (PBPM) spending found between the demonstration group and a target amount determined by </w:t>
      </w:r>
      <w:r w:rsidRPr="00B959E3">
        <w:rPr>
          <w:sz w:val="24"/>
          <w:szCs w:val="24"/>
        </w:rPr>
        <w:lastRenderedPageBreak/>
        <w:t xml:space="preserve">trending demonstration group expenditures in a two-year pre-Demonstration base period by the change in costs of the comparison group. The savings calculations will use an actuarial methodology to provide CMS with the resulting Medicare and Medicaid savings achieved. </w:t>
      </w:r>
      <w:r w:rsidRPr="00F95EBB">
        <w:rPr>
          <w:sz w:val="24"/>
          <w:szCs w:val="24"/>
        </w:rPr>
        <w:t>The calculation will reflect any increase in Federal Medicaid spending, including fees or enhanced FMAP for health home services, associated with beneficiaries in Washington or the comparison group</w:t>
      </w:r>
      <w:r w:rsidRPr="00B95124">
        <w:rPr>
          <w:sz w:val="24"/>
          <w:szCs w:val="24"/>
        </w:rPr>
        <w:t>.</w:t>
      </w:r>
      <w:r w:rsidR="00B95124">
        <w:rPr>
          <w:sz w:val="24"/>
          <w:szCs w:val="24"/>
        </w:rPr>
        <w:t xml:space="preserve"> However, federal Medicaid spending for both Washington and the comparison group will be adjusted to remove the impact of the enhanced FMAP under the Families First Coronavirus Response Act in response to the COVID-19 public health emergency.</w:t>
      </w:r>
    </w:p>
    <w:p w14:paraId="5D422790" w14:textId="79AC4C67" w:rsidR="004C357E" w:rsidRPr="00B959E3" w:rsidRDefault="004C357E" w:rsidP="00B959E3">
      <w:pPr>
        <w:pStyle w:val="BodyText2"/>
        <w:numPr>
          <w:ilvl w:val="3"/>
          <w:numId w:val="36"/>
        </w:numPr>
        <w:tabs>
          <w:tab w:val="clear" w:pos="4320"/>
        </w:tabs>
        <w:spacing w:after="480" w:line="360" w:lineRule="auto"/>
        <w:ind w:left="3600" w:hanging="1350"/>
        <w:rPr>
          <w:sz w:val="24"/>
          <w:szCs w:val="24"/>
        </w:rPr>
      </w:pPr>
      <w:r w:rsidRPr="00B959E3">
        <w:rPr>
          <w:i/>
          <w:sz w:val="24"/>
          <w:szCs w:val="24"/>
        </w:rPr>
        <w:t>Identifying Benefic</w:t>
      </w:r>
      <w:r w:rsidR="00F14B26">
        <w:rPr>
          <w:i/>
          <w:sz w:val="24"/>
          <w:szCs w:val="24"/>
        </w:rPr>
        <w:t xml:space="preserve">iaries Eligible for Inclusion: </w:t>
      </w:r>
      <w:r w:rsidRPr="00B959E3">
        <w:rPr>
          <w:sz w:val="24"/>
          <w:szCs w:val="24"/>
        </w:rPr>
        <w:t>Both the demonstration and comparison group will be identified using an intent-to-treat approach. The data used to identify demonstration and comparison beneficiaries will reflect eligibility on the Demonstration start date. The demonstration group will be identified retrospect</w:t>
      </w:r>
      <w:r w:rsidR="001C68CA">
        <w:rPr>
          <w:sz w:val="24"/>
          <w:szCs w:val="24"/>
        </w:rPr>
        <w:t>ively, after the Demonstration Y</w:t>
      </w:r>
      <w:r w:rsidRPr="00B959E3">
        <w:rPr>
          <w:sz w:val="24"/>
          <w:szCs w:val="24"/>
        </w:rPr>
        <w:t>ear has ended, to allow for additional data to become available.</w:t>
      </w:r>
    </w:p>
    <w:p w14:paraId="4DF4B566" w14:textId="63572640"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Every beneficiary included in the first performance payment calculation must meet all of the following criteria to be included in the savings calculation:</w:t>
      </w:r>
    </w:p>
    <w:p w14:paraId="3FDFEE16" w14:textId="61FBFC2F"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lastRenderedPageBreak/>
        <w:t>Meet the Demonstration eligibility criteria for at least 3 months and have at least 3 months of baseline claims</w:t>
      </w:r>
      <w:r w:rsidR="00F14B26">
        <w:rPr>
          <w:sz w:val="24"/>
          <w:szCs w:val="24"/>
        </w:rPr>
        <w:t>.</w:t>
      </w:r>
    </w:p>
    <w:p w14:paraId="0CBD8847" w14:textId="77777777" w:rsidR="006E7D8A" w:rsidRDefault="004C357E" w:rsidP="006E7D8A">
      <w:pPr>
        <w:pStyle w:val="BodyText2"/>
        <w:numPr>
          <w:ilvl w:val="4"/>
          <w:numId w:val="36"/>
        </w:numPr>
        <w:spacing w:after="480" w:line="360" w:lineRule="auto"/>
        <w:ind w:left="4320" w:hanging="1440"/>
        <w:rPr>
          <w:sz w:val="24"/>
          <w:szCs w:val="24"/>
        </w:rPr>
      </w:pPr>
      <w:r w:rsidRPr="006E7D8A">
        <w:rPr>
          <w:sz w:val="24"/>
          <w:szCs w:val="24"/>
        </w:rPr>
        <w:t>Individuals in an MA or PACE plan will not be included in the base period, and their experience during the Demonstration will also be excluded from the savings calculation.</w:t>
      </w:r>
    </w:p>
    <w:p w14:paraId="5E21CDCE" w14:textId="6348BA1B"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 xml:space="preserve">Only the member months during which a beneficiary was eligible for </w:t>
      </w:r>
      <w:r w:rsidR="00F14B26">
        <w:rPr>
          <w:sz w:val="24"/>
          <w:szCs w:val="24"/>
        </w:rPr>
        <w:t>the D</w:t>
      </w:r>
      <w:r w:rsidRPr="006E7D8A">
        <w:rPr>
          <w:sz w:val="24"/>
          <w:szCs w:val="24"/>
        </w:rPr>
        <w:t>emonstration or comparison group will be included in the calculation. Terminations in eligibility will result from moving out of area, death, loss of eligibility for Medicare Parts A and B, Medicare becoming a secondary payer, loss of eligibility for full Medicaid benefits, or receipt of Medicare or Medicaid hospice. The same rules for terminating eligibility for inclusion in the savings calculation will be applied to both the demonstration and comparison groups.</w:t>
      </w:r>
    </w:p>
    <w:p w14:paraId="51E132A6" w14:textId="77777777" w:rsidR="004C357E" w:rsidRPr="006E7D8A" w:rsidRDefault="006E7D8A" w:rsidP="006E7D8A">
      <w:pPr>
        <w:pStyle w:val="BodyText2"/>
        <w:numPr>
          <w:ilvl w:val="3"/>
          <w:numId w:val="36"/>
        </w:numPr>
        <w:tabs>
          <w:tab w:val="clear" w:pos="4320"/>
        </w:tabs>
        <w:spacing w:after="480" w:line="360" w:lineRule="auto"/>
        <w:ind w:left="3600" w:hanging="1260"/>
        <w:rPr>
          <w:sz w:val="24"/>
          <w:szCs w:val="24"/>
        </w:rPr>
      </w:pPr>
      <w:r w:rsidRPr="006E7D8A">
        <w:rPr>
          <w:i/>
          <w:sz w:val="24"/>
          <w:szCs w:val="24"/>
        </w:rPr>
        <w:t>Beneficiaries</w:t>
      </w:r>
      <w:r w:rsidR="004C357E" w:rsidRPr="006E7D8A">
        <w:rPr>
          <w:i/>
          <w:sz w:val="24"/>
          <w:szCs w:val="24"/>
        </w:rPr>
        <w:t xml:space="preserve"> who Become Eligible for this Demonstration After the Start Date </w:t>
      </w:r>
    </w:p>
    <w:p w14:paraId="4760E9D7" w14:textId="33135B78" w:rsidR="006E7D8A" w:rsidRDefault="004C357E" w:rsidP="006E7D8A">
      <w:pPr>
        <w:pStyle w:val="BodyText2"/>
        <w:numPr>
          <w:ilvl w:val="4"/>
          <w:numId w:val="36"/>
        </w:numPr>
        <w:spacing w:after="480" w:line="360" w:lineRule="auto"/>
        <w:ind w:left="4320" w:hanging="1440"/>
        <w:rPr>
          <w:sz w:val="24"/>
          <w:szCs w:val="24"/>
        </w:rPr>
      </w:pPr>
      <w:r w:rsidRPr="006E7D8A">
        <w:rPr>
          <w:sz w:val="24"/>
          <w:szCs w:val="24"/>
        </w:rPr>
        <w:t xml:space="preserve">The baseline for beneficiaries who become eligible for the Demonstration after the Demonstration start date will be their experience from their date of Demonstration </w:t>
      </w:r>
      <w:r w:rsidRPr="006E7D8A">
        <w:rPr>
          <w:sz w:val="24"/>
          <w:szCs w:val="24"/>
        </w:rPr>
        <w:lastRenderedPageBreak/>
        <w:t>eligibility to</w:t>
      </w:r>
      <w:r w:rsidR="001C68CA">
        <w:rPr>
          <w:sz w:val="24"/>
          <w:szCs w:val="24"/>
        </w:rPr>
        <w:t xml:space="preserve"> the end of that Demonstration Y</w:t>
      </w:r>
      <w:r w:rsidRPr="006E7D8A">
        <w:rPr>
          <w:sz w:val="24"/>
          <w:szCs w:val="24"/>
        </w:rPr>
        <w:t>ear. Such beneficiaries will then enter the calculation on the first</w:t>
      </w:r>
      <w:r w:rsidR="001C68CA">
        <w:rPr>
          <w:sz w:val="24"/>
          <w:szCs w:val="24"/>
        </w:rPr>
        <w:t xml:space="preserve"> day of the next Demonstration Y</w:t>
      </w:r>
      <w:r w:rsidRPr="006E7D8A">
        <w:rPr>
          <w:sz w:val="24"/>
          <w:szCs w:val="24"/>
        </w:rPr>
        <w:t>ear. The same approach will be used to determine baseline experience for beneficiaries in the comparison group who newly meet Demonstration eligibility criteria after the Demonstration start date.</w:t>
      </w:r>
    </w:p>
    <w:p w14:paraId="6BF7A748" w14:textId="3CF0C023" w:rsidR="004C357E" w:rsidRPr="00B12430" w:rsidRDefault="004C357E" w:rsidP="00B12430">
      <w:pPr>
        <w:pStyle w:val="BodyText2"/>
        <w:numPr>
          <w:ilvl w:val="4"/>
          <w:numId w:val="36"/>
        </w:numPr>
        <w:spacing w:after="480" w:line="360" w:lineRule="auto"/>
        <w:ind w:left="4320" w:hanging="1440"/>
        <w:rPr>
          <w:sz w:val="24"/>
          <w:szCs w:val="24"/>
        </w:rPr>
      </w:pPr>
      <w:r w:rsidRPr="00B12430">
        <w:rPr>
          <w:sz w:val="24"/>
          <w:szCs w:val="24"/>
        </w:rPr>
        <w:t>The actual savings achieved for beneficiaries who become eligible for this Demonstration after the start date will not be included in the savings calculation until the following year (i.e., until the beneficia</w:t>
      </w:r>
      <w:r w:rsidR="001C68CA">
        <w:rPr>
          <w:sz w:val="24"/>
          <w:szCs w:val="24"/>
        </w:rPr>
        <w:t>ries’ first full Demonstration Y</w:t>
      </w:r>
      <w:r w:rsidRPr="00B12430">
        <w:rPr>
          <w:sz w:val="24"/>
          <w:szCs w:val="24"/>
        </w:rPr>
        <w:t>ear of eligibility)</w:t>
      </w:r>
      <w:r w:rsidR="00D10BD6" w:rsidRPr="00B12430">
        <w:rPr>
          <w:sz w:val="24"/>
          <w:szCs w:val="24"/>
        </w:rPr>
        <w:t>,</w:t>
      </w:r>
      <w:r w:rsidR="00D10BD6" w:rsidRPr="00B12430">
        <w:rPr>
          <w:i/>
          <w:iCs/>
          <w:color w:val="FF0000"/>
        </w:rPr>
        <w:t xml:space="preserve"> </w:t>
      </w:r>
      <w:r w:rsidR="00D10BD6" w:rsidRPr="00B12430">
        <w:rPr>
          <w:iCs/>
          <w:sz w:val="24"/>
          <w:szCs w:val="24"/>
        </w:rPr>
        <w:t xml:space="preserve">with the exception of beneficiaries in Region 2 who will have a partial year of data and be included in the Demonstration </w:t>
      </w:r>
      <w:r w:rsidR="001C68CA">
        <w:rPr>
          <w:iCs/>
          <w:sz w:val="24"/>
          <w:szCs w:val="24"/>
        </w:rPr>
        <w:t>Y</w:t>
      </w:r>
      <w:r w:rsidR="00D10BD6" w:rsidRPr="00B12430">
        <w:rPr>
          <w:iCs/>
          <w:sz w:val="24"/>
          <w:szCs w:val="24"/>
        </w:rPr>
        <w:t xml:space="preserve">ear 4 savings </w:t>
      </w:r>
      <w:r w:rsidR="00D10BD6" w:rsidRPr="00FA0475">
        <w:rPr>
          <w:iCs/>
          <w:sz w:val="24"/>
          <w:szCs w:val="24"/>
        </w:rPr>
        <w:t>calculations</w:t>
      </w:r>
      <w:r w:rsidR="00B12430" w:rsidRPr="00FA0475">
        <w:rPr>
          <w:iCs/>
          <w:sz w:val="24"/>
          <w:szCs w:val="24"/>
        </w:rPr>
        <w:t xml:space="preserve"> if they are eligible as of April 1, 2017 (Region 2 beneficiaries who become eligible after this date will be included in the Demonstration </w:t>
      </w:r>
      <w:r w:rsidR="001C68CA">
        <w:rPr>
          <w:iCs/>
          <w:sz w:val="24"/>
          <w:szCs w:val="24"/>
        </w:rPr>
        <w:t>Y</w:t>
      </w:r>
      <w:r w:rsidR="00B12430" w:rsidRPr="00FA0475">
        <w:rPr>
          <w:iCs/>
          <w:sz w:val="24"/>
          <w:szCs w:val="24"/>
        </w:rPr>
        <w:t>ear 5 savings calculations).</w:t>
      </w:r>
      <w:r w:rsidR="00B12430" w:rsidRPr="00FA0475">
        <w:rPr>
          <w:color w:val="1F497D"/>
        </w:rPr>
        <w:t xml:space="preserve"> </w:t>
      </w:r>
    </w:p>
    <w:p w14:paraId="16D96E9E" w14:textId="51A573E7" w:rsidR="006E7D8A" w:rsidRPr="006E7D8A" w:rsidRDefault="004C357E" w:rsidP="006E7D8A">
      <w:pPr>
        <w:pStyle w:val="BodyText2"/>
        <w:numPr>
          <w:ilvl w:val="5"/>
          <w:numId w:val="36"/>
        </w:numPr>
        <w:tabs>
          <w:tab w:val="left" w:pos="4950"/>
        </w:tabs>
        <w:spacing w:after="480" w:line="360" w:lineRule="auto"/>
        <w:ind w:left="4860"/>
        <w:rPr>
          <w:sz w:val="24"/>
          <w:szCs w:val="24"/>
        </w:rPr>
      </w:pPr>
      <w:r w:rsidRPr="006E7D8A">
        <w:rPr>
          <w:sz w:val="24"/>
          <w:szCs w:val="24"/>
        </w:rPr>
        <w:t xml:space="preserve">For the Demonstration </w:t>
      </w:r>
      <w:r w:rsidR="001C68CA">
        <w:rPr>
          <w:sz w:val="24"/>
          <w:szCs w:val="24"/>
        </w:rPr>
        <w:t>Y</w:t>
      </w:r>
      <w:r w:rsidRPr="006E7D8A">
        <w:rPr>
          <w:sz w:val="24"/>
          <w:szCs w:val="24"/>
        </w:rPr>
        <w:t xml:space="preserve">ear in which the beneficiary became eligible for this Demonstration after the start date, the savings percentage calculated for beneficiaries that are included in the savings calculation (i.e. beneficiaries </w:t>
      </w:r>
      <w:r w:rsidRPr="006E7D8A">
        <w:rPr>
          <w:sz w:val="24"/>
          <w:szCs w:val="24"/>
        </w:rPr>
        <w:lastRenderedPageBreak/>
        <w:t xml:space="preserve">in the demonstration and comparison groups who were eligible on the Demonstration start date, or at the beginning of the previous Demonstration </w:t>
      </w:r>
      <w:r w:rsidR="001C68CA">
        <w:rPr>
          <w:sz w:val="24"/>
          <w:szCs w:val="24"/>
        </w:rPr>
        <w:t>Y</w:t>
      </w:r>
      <w:r w:rsidRPr="006E7D8A">
        <w:rPr>
          <w:sz w:val="24"/>
          <w:szCs w:val="24"/>
        </w:rPr>
        <w:t>ear, as applicable) will be attributed to the beneficiaries who become eligible for this Demonstration after the start date in the year that they become eligible.</w:t>
      </w:r>
    </w:p>
    <w:p w14:paraId="2E7567CF" w14:textId="0DC466C0" w:rsidR="004C357E" w:rsidRPr="006E7D8A" w:rsidRDefault="001C68CA" w:rsidP="006E7D8A">
      <w:pPr>
        <w:pStyle w:val="BodyText2"/>
        <w:numPr>
          <w:ilvl w:val="5"/>
          <w:numId w:val="36"/>
        </w:numPr>
        <w:tabs>
          <w:tab w:val="left" w:pos="4950"/>
        </w:tabs>
        <w:spacing w:after="480" w:line="360" w:lineRule="auto"/>
        <w:ind w:left="4860"/>
        <w:rPr>
          <w:sz w:val="24"/>
          <w:szCs w:val="24"/>
        </w:rPr>
      </w:pPr>
      <w:r>
        <w:rPr>
          <w:sz w:val="24"/>
          <w:szCs w:val="24"/>
        </w:rPr>
        <w:t>Each Demonstration Y</w:t>
      </w:r>
      <w:r w:rsidR="004C357E" w:rsidRPr="006E7D8A">
        <w:rPr>
          <w:sz w:val="24"/>
          <w:szCs w:val="24"/>
        </w:rPr>
        <w:t>ear, a new cohort will be created for beneficiaries who became newly eligible the previous year.</w:t>
      </w:r>
    </w:p>
    <w:p w14:paraId="691C43D1" w14:textId="0CA0EB16" w:rsidR="006E7D8A" w:rsidRPr="00B015F5" w:rsidRDefault="004C357E" w:rsidP="006E7D8A">
      <w:pPr>
        <w:pStyle w:val="BodyText2"/>
        <w:numPr>
          <w:ilvl w:val="4"/>
          <w:numId w:val="36"/>
        </w:numPr>
        <w:spacing w:after="480" w:line="360" w:lineRule="auto"/>
        <w:ind w:left="4320" w:hanging="1440"/>
        <w:rPr>
          <w:sz w:val="24"/>
          <w:szCs w:val="24"/>
        </w:rPr>
      </w:pPr>
      <w:r w:rsidRPr="006E7D8A">
        <w:rPr>
          <w:sz w:val="24"/>
          <w:szCs w:val="24"/>
        </w:rPr>
        <w:t xml:space="preserve">Beneficiaries becoming eligible for the Demonstration during the first year will be incorporated into the savings calculation using the attribution approach described in IV.I.2.b.ii, above. These beneficiaries will be included in a new cohort </w:t>
      </w:r>
      <w:r w:rsidRPr="00B015F5">
        <w:rPr>
          <w:sz w:val="24"/>
          <w:szCs w:val="24"/>
        </w:rPr>
        <w:t xml:space="preserve">on the start date of the second Demonstration </w:t>
      </w:r>
      <w:r w:rsidR="001C68CA">
        <w:rPr>
          <w:sz w:val="24"/>
          <w:szCs w:val="24"/>
        </w:rPr>
        <w:t>Y</w:t>
      </w:r>
      <w:r w:rsidRPr="00B015F5">
        <w:rPr>
          <w:sz w:val="24"/>
          <w:szCs w:val="24"/>
        </w:rPr>
        <w:t>ear.</w:t>
      </w:r>
    </w:p>
    <w:p w14:paraId="7C629E09" w14:textId="7CA54B68" w:rsidR="006E7D8A" w:rsidRPr="00B015F5" w:rsidRDefault="004C357E" w:rsidP="006E7D8A">
      <w:pPr>
        <w:pStyle w:val="BodyText2"/>
        <w:numPr>
          <w:ilvl w:val="4"/>
          <w:numId w:val="36"/>
        </w:numPr>
        <w:spacing w:after="480" w:line="360" w:lineRule="auto"/>
        <w:ind w:left="4320" w:hanging="1440"/>
        <w:rPr>
          <w:sz w:val="24"/>
          <w:szCs w:val="24"/>
        </w:rPr>
      </w:pPr>
      <w:r w:rsidRPr="00B015F5">
        <w:rPr>
          <w:sz w:val="24"/>
          <w:szCs w:val="24"/>
        </w:rPr>
        <w:t>All beneficiaries that become eligible for the Demonstration d</w:t>
      </w:r>
      <w:r w:rsidR="001C68CA">
        <w:rPr>
          <w:sz w:val="24"/>
          <w:szCs w:val="24"/>
        </w:rPr>
        <w:t>uring the second Demonstration Y</w:t>
      </w:r>
      <w:r w:rsidRPr="00B015F5">
        <w:rPr>
          <w:sz w:val="24"/>
          <w:szCs w:val="24"/>
        </w:rPr>
        <w:t>ear will form a cohort that beg</w:t>
      </w:r>
      <w:r w:rsidR="001C68CA">
        <w:rPr>
          <w:sz w:val="24"/>
          <w:szCs w:val="24"/>
        </w:rPr>
        <w:t>ins in the third Demonstration Y</w:t>
      </w:r>
      <w:r w:rsidRPr="00B015F5">
        <w:rPr>
          <w:sz w:val="24"/>
          <w:szCs w:val="24"/>
        </w:rPr>
        <w:t>ear. The same approach will be used for all beneficiaries becoming</w:t>
      </w:r>
      <w:r w:rsidR="001C68CA">
        <w:rPr>
          <w:sz w:val="24"/>
          <w:szCs w:val="24"/>
        </w:rPr>
        <w:t xml:space="preserve"> eligible during Demonstration Y</w:t>
      </w:r>
      <w:r w:rsidRPr="00B015F5">
        <w:rPr>
          <w:sz w:val="24"/>
          <w:szCs w:val="24"/>
        </w:rPr>
        <w:t>ear three</w:t>
      </w:r>
      <w:r w:rsidR="006E7D8A" w:rsidRPr="00B015F5">
        <w:rPr>
          <w:sz w:val="24"/>
          <w:szCs w:val="24"/>
        </w:rPr>
        <w:t xml:space="preserve"> and beyond.</w:t>
      </w:r>
    </w:p>
    <w:p w14:paraId="6E55BBCC" w14:textId="3F0189D7" w:rsidR="006E7D8A" w:rsidRPr="00343B91" w:rsidRDefault="004C357E" w:rsidP="006E7D8A">
      <w:pPr>
        <w:pStyle w:val="BodyText2"/>
        <w:numPr>
          <w:ilvl w:val="4"/>
          <w:numId w:val="36"/>
        </w:numPr>
        <w:spacing w:after="480" w:line="360" w:lineRule="auto"/>
        <w:ind w:left="4320" w:hanging="1440"/>
        <w:rPr>
          <w:sz w:val="24"/>
          <w:szCs w:val="24"/>
        </w:rPr>
      </w:pPr>
      <w:r w:rsidRPr="00B015F5">
        <w:rPr>
          <w:sz w:val="24"/>
          <w:szCs w:val="24"/>
        </w:rPr>
        <w:lastRenderedPageBreak/>
        <w:t xml:space="preserve">Beneficiaries becoming eligible </w:t>
      </w:r>
      <w:r w:rsidR="006E7D8A" w:rsidRPr="00B015F5">
        <w:rPr>
          <w:sz w:val="24"/>
          <w:szCs w:val="24"/>
        </w:rPr>
        <w:t>in the final</w:t>
      </w:r>
      <w:r w:rsidR="001C68CA">
        <w:rPr>
          <w:sz w:val="24"/>
          <w:szCs w:val="24"/>
        </w:rPr>
        <w:t xml:space="preserve"> Demonstration Y</w:t>
      </w:r>
      <w:r w:rsidRPr="00B015F5">
        <w:rPr>
          <w:sz w:val="24"/>
          <w:szCs w:val="24"/>
        </w:rPr>
        <w:t xml:space="preserve">ear will not be included in the calculation of </w:t>
      </w:r>
      <w:r w:rsidR="00605A74" w:rsidRPr="00B015F5">
        <w:rPr>
          <w:sz w:val="24"/>
          <w:szCs w:val="24"/>
        </w:rPr>
        <w:t>savings percentages</w:t>
      </w:r>
      <w:r w:rsidR="00605A74" w:rsidRPr="006E7D8A">
        <w:rPr>
          <w:sz w:val="24"/>
          <w:szCs w:val="24"/>
        </w:rPr>
        <w:t xml:space="preserve"> but</w:t>
      </w:r>
      <w:r w:rsidRPr="006E7D8A">
        <w:rPr>
          <w:sz w:val="24"/>
          <w:szCs w:val="24"/>
        </w:rPr>
        <w:t xml:space="preserve"> will have savings applied </w:t>
      </w:r>
      <w:r w:rsidRPr="00343B91">
        <w:rPr>
          <w:sz w:val="24"/>
          <w:szCs w:val="24"/>
        </w:rPr>
        <w:t>to their expenditures using the methodology described in IV.I.2.b.ii.</w:t>
      </w:r>
    </w:p>
    <w:p w14:paraId="6A127D1D" w14:textId="77777777"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For each new cohort of demonstration beneficiaries, there will be a corresponding new cohort of comparison beneficiaries</w:t>
      </w:r>
    </w:p>
    <w:p w14:paraId="6256B30D" w14:textId="77777777" w:rsidR="004C357E" w:rsidRPr="006E7D8A" w:rsidRDefault="004C357E" w:rsidP="006E7D8A">
      <w:pPr>
        <w:pStyle w:val="BodyText2"/>
        <w:numPr>
          <w:ilvl w:val="3"/>
          <w:numId w:val="36"/>
        </w:numPr>
        <w:tabs>
          <w:tab w:val="clear" w:pos="4320"/>
        </w:tabs>
        <w:spacing w:after="480" w:line="360" w:lineRule="auto"/>
        <w:rPr>
          <w:sz w:val="24"/>
          <w:szCs w:val="24"/>
        </w:rPr>
      </w:pPr>
      <w:r w:rsidRPr="006E7D8A">
        <w:rPr>
          <w:i/>
          <w:sz w:val="24"/>
          <w:szCs w:val="24"/>
        </w:rPr>
        <w:t>Cell Structure</w:t>
      </w:r>
    </w:p>
    <w:p w14:paraId="331FDAAE" w14:textId="77777777"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Beneficiaries in the demonstration group and the comparison group will be grouped into cells according to characteristics that influence expected costs (e.g., residing in a nursing facility, serious and persistent mental illness, age</w:t>
      </w:r>
      <w:r w:rsidR="00E928D2">
        <w:rPr>
          <w:sz w:val="24"/>
          <w:szCs w:val="24"/>
        </w:rPr>
        <w:t>)</w:t>
      </w:r>
      <w:r w:rsidRPr="006E7D8A">
        <w:rPr>
          <w:sz w:val="24"/>
          <w:szCs w:val="24"/>
        </w:rPr>
        <w:t>.</w:t>
      </w:r>
    </w:p>
    <w:p w14:paraId="681520B2" w14:textId="77777777" w:rsidR="004C357E" w:rsidRPr="006E7D8A" w:rsidRDefault="004C357E" w:rsidP="004C357E">
      <w:pPr>
        <w:pStyle w:val="BodyText2"/>
        <w:numPr>
          <w:ilvl w:val="4"/>
          <w:numId w:val="36"/>
        </w:numPr>
        <w:spacing w:after="480" w:line="360" w:lineRule="auto"/>
        <w:rPr>
          <w:sz w:val="24"/>
          <w:szCs w:val="24"/>
        </w:rPr>
      </w:pPr>
      <w:r w:rsidRPr="006E7D8A">
        <w:rPr>
          <w:sz w:val="24"/>
          <w:szCs w:val="24"/>
        </w:rPr>
        <w:t>The cells are the following:</w:t>
      </w:r>
    </w:p>
    <w:p w14:paraId="0D94448D"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t>Three by category of care delivery: facility, HCBS waiver, and community other.</w:t>
      </w:r>
    </w:p>
    <w:p w14:paraId="0C16A0AE"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t>Two by mental condition: the presence or absence of serious and persistent mental illness (SPMI).</w:t>
      </w:r>
    </w:p>
    <w:p w14:paraId="5B1EE350"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lastRenderedPageBreak/>
        <w:t>Two by age: age 65 and older, and under age 65.</w:t>
      </w:r>
    </w:p>
    <w:p w14:paraId="4B03656E" w14:textId="77777777" w:rsidR="006E7D8A" w:rsidRPr="006E7D8A" w:rsidRDefault="004C357E" w:rsidP="006E7D8A">
      <w:pPr>
        <w:pStyle w:val="BodyText2"/>
        <w:numPr>
          <w:ilvl w:val="4"/>
          <w:numId w:val="36"/>
        </w:numPr>
        <w:spacing w:after="480" w:line="360" w:lineRule="auto"/>
        <w:ind w:left="4320" w:hanging="1530"/>
        <w:rPr>
          <w:sz w:val="24"/>
          <w:szCs w:val="24"/>
        </w:rPr>
      </w:pPr>
      <w:r w:rsidRPr="006E7D8A">
        <w:rPr>
          <w:sz w:val="24"/>
          <w:szCs w:val="24"/>
        </w:rPr>
        <w:t>If a particular cell contains zero or a small number of member months, as determined by CMS and its evaluation contractor, the cell category will be eliminated and any beneficiaries in the eliminated cell will be included in another applicable cell. A cell will also be eliminated if data needed to make the cell placements are not available.</w:t>
      </w:r>
    </w:p>
    <w:p w14:paraId="5C56FFFB" w14:textId="27E34EA3" w:rsidR="006E7D8A" w:rsidRDefault="004C357E" w:rsidP="006E7D8A">
      <w:pPr>
        <w:pStyle w:val="BodyText2"/>
        <w:numPr>
          <w:ilvl w:val="4"/>
          <w:numId w:val="36"/>
        </w:numPr>
        <w:spacing w:after="480" w:line="360" w:lineRule="auto"/>
        <w:ind w:left="4320" w:hanging="1530"/>
        <w:rPr>
          <w:sz w:val="24"/>
          <w:szCs w:val="24"/>
        </w:rPr>
      </w:pPr>
      <w:r w:rsidRPr="006E7D8A">
        <w:rPr>
          <w:sz w:val="24"/>
          <w:szCs w:val="24"/>
        </w:rPr>
        <w:t>Beneficiaries will be placed into cells according to their characteristics as of the date they enter the savings calculation (</w:t>
      </w:r>
      <w:r w:rsidR="00605A74" w:rsidRPr="006E7D8A">
        <w:rPr>
          <w:sz w:val="24"/>
          <w:szCs w:val="24"/>
        </w:rPr>
        <w:t>i.e.,</w:t>
      </w:r>
      <w:r w:rsidRPr="006E7D8A">
        <w:rPr>
          <w:sz w:val="24"/>
          <w:szCs w:val="24"/>
        </w:rPr>
        <w:t xml:space="preserve"> the Demonstration start date or the first date of a new cohort), and will remain in that cell throughout the Demonstration, for the months they remain eligible for the Demonstration.</w:t>
      </w:r>
    </w:p>
    <w:p w14:paraId="10A723EB" w14:textId="77777777" w:rsidR="004C357E" w:rsidRPr="006E7D8A" w:rsidRDefault="004C357E" w:rsidP="006E7D8A">
      <w:pPr>
        <w:pStyle w:val="BodyText2"/>
        <w:numPr>
          <w:ilvl w:val="4"/>
          <w:numId w:val="36"/>
        </w:numPr>
        <w:spacing w:after="480" w:line="360" w:lineRule="auto"/>
        <w:ind w:left="4320" w:hanging="1530"/>
        <w:rPr>
          <w:sz w:val="24"/>
          <w:szCs w:val="24"/>
        </w:rPr>
      </w:pPr>
      <w:r w:rsidRPr="006E7D8A">
        <w:rPr>
          <w:sz w:val="24"/>
          <w:szCs w:val="24"/>
        </w:rPr>
        <w:t>Savings will be measured separately for each cell. Aggregate savings will be determined by weighting each comparison group cell according to the distribution of the demonstration population.</w:t>
      </w:r>
    </w:p>
    <w:p w14:paraId="771998C7" w14:textId="77777777" w:rsidR="006E7D8A" w:rsidRDefault="004C357E" w:rsidP="006E7D8A">
      <w:pPr>
        <w:pStyle w:val="BodyText2"/>
        <w:numPr>
          <w:ilvl w:val="3"/>
          <w:numId w:val="36"/>
        </w:numPr>
        <w:tabs>
          <w:tab w:val="clear" w:pos="4320"/>
        </w:tabs>
        <w:spacing w:after="480" w:line="360" w:lineRule="auto"/>
        <w:ind w:left="3600" w:hanging="1440"/>
        <w:rPr>
          <w:sz w:val="24"/>
          <w:szCs w:val="24"/>
        </w:rPr>
      </w:pPr>
      <w:r w:rsidRPr="006E7D8A">
        <w:rPr>
          <w:i/>
          <w:sz w:val="24"/>
          <w:szCs w:val="24"/>
        </w:rPr>
        <w:t xml:space="preserve">Capping Individual Costs: </w:t>
      </w:r>
      <w:r w:rsidRPr="006E7D8A">
        <w:rPr>
          <w:sz w:val="24"/>
          <w:szCs w:val="24"/>
        </w:rPr>
        <w:t xml:space="preserve">The annual costs of individuals included in the savings calculation will be capped at the 99th percentile of annual </w:t>
      </w:r>
      <w:r w:rsidRPr="006E7D8A">
        <w:rPr>
          <w:sz w:val="24"/>
          <w:szCs w:val="24"/>
        </w:rPr>
        <w:lastRenderedPageBreak/>
        <w:t>expenditures. Medicare and Medicaid expenditures will be capped separately.</w:t>
      </w:r>
    </w:p>
    <w:p w14:paraId="2C070327" w14:textId="77777777" w:rsidR="006E7D8A" w:rsidRDefault="004C357E" w:rsidP="006E7D8A">
      <w:pPr>
        <w:pStyle w:val="BodyText2"/>
        <w:numPr>
          <w:ilvl w:val="3"/>
          <w:numId w:val="36"/>
        </w:numPr>
        <w:tabs>
          <w:tab w:val="clear" w:pos="4320"/>
        </w:tabs>
        <w:spacing w:after="480" w:line="360" w:lineRule="auto"/>
        <w:ind w:left="3600" w:hanging="1440"/>
        <w:rPr>
          <w:sz w:val="24"/>
          <w:szCs w:val="24"/>
        </w:rPr>
      </w:pPr>
      <w:r w:rsidRPr="006E7D8A">
        <w:rPr>
          <w:i/>
          <w:sz w:val="24"/>
          <w:szCs w:val="24"/>
        </w:rPr>
        <w:t xml:space="preserve">Savings Calculation: </w:t>
      </w:r>
      <w:r w:rsidRPr="006E7D8A">
        <w:rPr>
          <w:sz w:val="24"/>
          <w:szCs w:val="24"/>
        </w:rPr>
        <w:t>Savings will be calculated one cell at a time, one year at a time, and on</w:t>
      </w:r>
      <w:r w:rsidR="00857857" w:rsidRPr="006E7D8A">
        <w:rPr>
          <w:sz w:val="24"/>
          <w:szCs w:val="24"/>
        </w:rPr>
        <w:t>e cohort at a time, as follows:</w:t>
      </w:r>
    </w:p>
    <w:p w14:paraId="2410C88F" w14:textId="77777777" w:rsidR="004C357E" w:rsidRPr="006E7D8A" w:rsidRDefault="004C357E" w:rsidP="006E7D8A">
      <w:pPr>
        <w:pStyle w:val="BodyText2"/>
        <w:tabs>
          <w:tab w:val="clear" w:pos="4320"/>
        </w:tabs>
        <w:spacing w:after="480" w:line="360" w:lineRule="auto"/>
        <w:ind w:left="3600"/>
        <w:rPr>
          <w:sz w:val="24"/>
          <w:szCs w:val="24"/>
        </w:rPr>
      </w:pPr>
      <w:r w:rsidRPr="006E7D8A">
        <w:rPr>
          <w:sz w:val="24"/>
          <w:szCs w:val="24"/>
        </w:rPr>
        <w:t>S$</w:t>
      </w:r>
      <w:r w:rsidRPr="006E7D8A">
        <w:rPr>
          <w:sz w:val="24"/>
          <w:szCs w:val="24"/>
          <w:vertAlign w:val="subscript"/>
        </w:rPr>
        <w:t>X,P</w:t>
      </w:r>
      <w:r w:rsidRPr="006E7D8A">
        <w:rPr>
          <w:sz w:val="24"/>
          <w:szCs w:val="24"/>
        </w:rPr>
        <w:t xml:space="preserve"> = M</w:t>
      </w:r>
      <w:r w:rsidRPr="006E7D8A">
        <w:rPr>
          <w:sz w:val="24"/>
          <w:szCs w:val="24"/>
          <w:vertAlign w:val="subscript"/>
        </w:rPr>
        <w:t>X,D</w:t>
      </w:r>
      <w:r w:rsidRPr="006E7D8A">
        <w:rPr>
          <w:sz w:val="24"/>
          <w:szCs w:val="24"/>
        </w:rPr>
        <w:t xml:space="preserve"> * (TPBPM</w:t>
      </w:r>
      <w:r w:rsidRPr="006E7D8A">
        <w:rPr>
          <w:sz w:val="24"/>
          <w:szCs w:val="24"/>
          <w:vertAlign w:val="subscript"/>
        </w:rPr>
        <w:t>X,P</w:t>
      </w:r>
      <w:r w:rsidRPr="006E7D8A">
        <w:rPr>
          <w:sz w:val="24"/>
          <w:szCs w:val="24"/>
        </w:rPr>
        <w:t xml:space="preserve"> – PBPM</w:t>
      </w:r>
      <w:r w:rsidRPr="006E7D8A">
        <w:rPr>
          <w:sz w:val="24"/>
          <w:szCs w:val="24"/>
          <w:vertAlign w:val="subscript"/>
        </w:rPr>
        <w:t>X,D,P</w:t>
      </w:r>
      <w:r w:rsidRPr="006E7D8A">
        <w:rPr>
          <w:sz w:val="24"/>
          <w:szCs w:val="24"/>
        </w:rPr>
        <w:t>), where:</w:t>
      </w:r>
    </w:p>
    <w:p w14:paraId="32EAE42D" w14:textId="3E5E22E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S$</w:t>
      </w:r>
      <w:r w:rsidRPr="006E7D8A">
        <w:rPr>
          <w:sz w:val="24"/>
          <w:szCs w:val="24"/>
          <w:vertAlign w:val="subscript"/>
        </w:rPr>
        <w:t>X,P</w:t>
      </w:r>
      <w:r w:rsidRPr="006E7D8A">
        <w:rPr>
          <w:sz w:val="24"/>
          <w:szCs w:val="24"/>
        </w:rPr>
        <w:t xml:space="preserve"> = savings in dollars for a particular cell (X) for a particular cohort</w:t>
      </w:r>
      <w:r w:rsidR="001C68CA">
        <w:rPr>
          <w:sz w:val="24"/>
          <w:szCs w:val="24"/>
        </w:rPr>
        <w:t xml:space="preserve"> in a particular Demonstration Y</w:t>
      </w:r>
      <w:r w:rsidRPr="006E7D8A">
        <w:rPr>
          <w:sz w:val="24"/>
          <w:szCs w:val="24"/>
        </w:rPr>
        <w:t>ear for a particular program (Medicare or Medicaid)</w:t>
      </w:r>
    </w:p>
    <w:p w14:paraId="78405E19" w14:textId="7777777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M</w:t>
      </w:r>
      <w:r w:rsidRPr="006E7D8A">
        <w:rPr>
          <w:sz w:val="24"/>
          <w:szCs w:val="24"/>
          <w:vertAlign w:val="subscript"/>
        </w:rPr>
        <w:t>X,D</w:t>
      </w:r>
      <w:r w:rsidRPr="006E7D8A">
        <w:rPr>
          <w:sz w:val="24"/>
          <w:szCs w:val="24"/>
        </w:rPr>
        <w:t xml:space="preserve"> = months of eligibility for the beneficiaries in cell (X) in the demonstration group. Each cell in the comparison group will have the same weight as the corresponding cell in the demonstration group.</w:t>
      </w:r>
    </w:p>
    <w:p w14:paraId="5866D76C" w14:textId="77777777" w:rsidR="006E7D8A"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TPBPM</w:t>
      </w:r>
      <w:r w:rsidRPr="006E7D8A">
        <w:rPr>
          <w:sz w:val="24"/>
          <w:szCs w:val="24"/>
          <w:vertAlign w:val="subscript"/>
        </w:rPr>
        <w:t>X,P</w:t>
      </w:r>
      <w:r w:rsidRPr="006E7D8A">
        <w:rPr>
          <w:sz w:val="24"/>
          <w:szCs w:val="24"/>
        </w:rPr>
        <w:t xml:space="preserve"> = target per beneficiary per month cost in cell (X) for a particular program</w:t>
      </w:r>
      <w:r w:rsidR="00E928D2">
        <w:rPr>
          <w:sz w:val="24"/>
          <w:szCs w:val="24"/>
        </w:rPr>
        <w:t>.</w:t>
      </w:r>
    </w:p>
    <w:p w14:paraId="7C632B43" w14:textId="77777777" w:rsidR="00857857"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PBPM</w:t>
      </w:r>
      <w:r w:rsidRPr="006E7D8A">
        <w:rPr>
          <w:sz w:val="24"/>
          <w:szCs w:val="24"/>
          <w:vertAlign w:val="subscript"/>
        </w:rPr>
        <w:t>X,D,P</w:t>
      </w:r>
      <w:r w:rsidRPr="006E7D8A">
        <w:rPr>
          <w:sz w:val="24"/>
          <w:szCs w:val="24"/>
        </w:rPr>
        <w:t xml:space="preserve"> = actual per beneficiary per month cost of the beneficiaries in cell (X) in the demonstration group for a particular program</w:t>
      </w:r>
      <w:r w:rsidR="00E928D2">
        <w:rPr>
          <w:sz w:val="24"/>
          <w:szCs w:val="24"/>
        </w:rPr>
        <w:t>.</w:t>
      </w:r>
    </w:p>
    <w:p w14:paraId="037FB22A" w14:textId="77777777" w:rsidR="006E7D8A" w:rsidRPr="006E7D8A" w:rsidRDefault="00857857" w:rsidP="006E7D8A">
      <w:pPr>
        <w:pStyle w:val="BodyText2"/>
        <w:numPr>
          <w:ilvl w:val="5"/>
          <w:numId w:val="36"/>
        </w:numPr>
        <w:spacing w:after="480" w:line="360" w:lineRule="auto"/>
        <w:ind w:left="4860"/>
        <w:rPr>
          <w:sz w:val="24"/>
          <w:szCs w:val="24"/>
        </w:rPr>
      </w:pPr>
      <w:r w:rsidRPr="006E7D8A">
        <w:rPr>
          <w:sz w:val="24"/>
          <w:szCs w:val="24"/>
        </w:rPr>
        <w:lastRenderedPageBreak/>
        <w:t>The PBPM</w:t>
      </w:r>
      <w:r w:rsidRPr="006E7D8A">
        <w:rPr>
          <w:sz w:val="24"/>
          <w:szCs w:val="24"/>
          <w:vertAlign w:val="subscript"/>
        </w:rPr>
        <w:t>X,D,P</w:t>
      </w:r>
      <w:r w:rsidRPr="006E7D8A">
        <w:rPr>
          <w:sz w:val="24"/>
          <w:szCs w:val="24"/>
        </w:rPr>
        <w:t xml:space="preserve"> is equal to the Medicare A/B costs or the Medicaid costs (excluding the costs above the cap) incurred during the period of eligibility for all beneficiaries in cell (X) in the demonstration group, divided by the months of eligibility for all beneficiaries in cell (X) in the demonstration group.</w:t>
      </w:r>
    </w:p>
    <w:p w14:paraId="54E29C72" w14:textId="72395A74" w:rsidR="00857857" w:rsidRPr="006E7D8A" w:rsidRDefault="00857857" w:rsidP="006E7D8A">
      <w:pPr>
        <w:pStyle w:val="BodyText2"/>
        <w:numPr>
          <w:ilvl w:val="5"/>
          <w:numId w:val="36"/>
        </w:numPr>
        <w:spacing w:after="480" w:line="360" w:lineRule="auto"/>
        <w:ind w:left="4860"/>
        <w:rPr>
          <w:sz w:val="24"/>
          <w:szCs w:val="24"/>
        </w:rPr>
      </w:pPr>
      <w:r w:rsidRPr="006E7D8A">
        <w:rPr>
          <w:sz w:val="24"/>
          <w:szCs w:val="24"/>
        </w:rPr>
        <w:t>Whenever a beneficiary is eligible for part of a month (</w:t>
      </w:r>
      <w:r w:rsidR="00605A74" w:rsidRPr="006E7D8A">
        <w:rPr>
          <w:sz w:val="24"/>
          <w:szCs w:val="24"/>
        </w:rPr>
        <w:t>e.g.,</w:t>
      </w:r>
      <w:r w:rsidRPr="006E7D8A">
        <w:rPr>
          <w:sz w:val="24"/>
          <w:szCs w:val="24"/>
        </w:rPr>
        <w:t xml:space="preserve"> for a death that occurs in the middle of a month), then a fraction of the month will be used in determining the total number of months of eligibility.</w:t>
      </w:r>
    </w:p>
    <w:p w14:paraId="14989B2E" w14:textId="7777777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Aggregate savings across all cells will be the sum of the savings for all cells and for both programs: S$</w:t>
      </w:r>
      <w:r w:rsidRPr="006E7D8A">
        <w:rPr>
          <w:sz w:val="24"/>
          <w:szCs w:val="24"/>
          <w:vertAlign w:val="subscript"/>
        </w:rPr>
        <w:t>A</w:t>
      </w:r>
      <w:r w:rsidRPr="006E7D8A">
        <w:rPr>
          <w:sz w:val="24"/>
          <w:szCs w:val="24"/>
        </w:rPr>
        <w:t xml:space="preserve"> = ∑∑ S$</w:t>
      </w:r>
      <w:r w:rsidRPr="006E7D8A">
        <w:rPr>
          <w:sz w:val="24"/>
          <w:szCs w:val="24"/>
          <w:vertAlign w:val="subscript"/>
        </w:rPr>
        <w:t>X.</w:t>
      </w:r>
    </w:p>
    <w:p w14:paraId="3D85FE6A" w14:textId="77777777" w:rsidR="00857857"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The target PBPM (TPBPM</w:t>
      </w:r>
      <w:r w:rsidRPr="006E7D8A">
        <w:rPr>
          <w:sz w:val="24"/>
          <w:szCs w:val="24"/>
          <w:vertAlign w:val="subscript"/>
        </w:rPr>
        <w:t>X,P</w:t>
      </w:r>
      <w:r w:rsidRPr="006E7D8A">
        <w:rPr>
          <w:sz w:val="24"/>
          <w:szCs w:val="24"/>
        </w:rPr>
        <w:t>) is a projection of the baseline PBPM of a cell (X) and the program (P) of the demonstration group based on the rate of increase of the corresponding cell of the comparison group:</w:t>
      </w:r>
    </w:p>
    <w:p w14:paraId="587E0604" w14:textId="77777777" w:rsidR="00857857" w:rsidRPr="006E7D8A" w:rsidRDefault="00857857" w:rsidP="006E7D8A">
      <w:pPr>
        <w:pStyle w:val="BodyText2"/>
        <w:spacing w:after="480" w:line="360" w:lineRule="auto"/>
        <w:ind w:left="4410"/>
        <w:rPr>
          <w:sz w:val="24"/>
          <w:szCs w:val="24"/>
        </w:rPr>
      </w:pPr>
      <w:r w:rsidRPr="006E7D8A">
        <w:rPr>
          <w:sz w:val="24"/>
          <w:szCs w:val="24"/>
        </w:rPr>
        <w:t>TPBPM</w:t>
      </w:r>
      <w:r w:rsidRPr="006E7D8A">
        <w:rPr>
          <w:sz w:val="24"/>
          <w:szCs w:val="24"/>
          <w:vertAlign w:val="subscript"/>
        </w:rPr>
        <w:t>X,P</w:t>
      </w:r>
      <w:r w:rsidRPr="006E7D8A">
        <w:rPr>
          <w:sz w:val="24"/>
          <w:szCs w:val="24"/>
        </w:rPr>
        <w:t xml:space="preserve"> = PBPM</w:t>
      </w:r>
      <w:r w:rsidRPr="006E7D8A">
        <w:rPr>
          <w:sz w:val="24"/>
          <w:szCs w:val="24"/>
          <w:vertAlign w:val="subscript"/>
        </w:rPr>
        <w:t>X,D,P</w:t>
      </w:r>
      <w:r w:rsidRPr="006E7D8A">
        <w:rPr>
          <w:sz w:val="24"/>
          <w:szCs w:val="24"/>
        </w:rPr>
        <w:t>(BY) * (PBPM</w:t>
      </w:r>
      <w:r w:rsidRPr="006E7D8A">
        <w:rPr>
          <w:sz w:val="24"/>
          <w:szCs w:val="24"/>
          <w:vertAlign w:val="subscript"/>
        </w:rPr>
        <w:t>XC,P</w:t>
      </w:r>
      <w:r w:rsidRPr="006E7D8A">
        <w:rPr>
          <w:sz w:val="24"/>
          <w:szCs w:val="24"/>
        </w:rPr>
        <w:t>(DY) / PBPM</w:t>
      </w:r>
      <w:r w:rsidRPr="006E7D8A">
        <w:rPr>
          <w:sz w:val="24"/>
          <w:szCs w:val="24"/>
          <w:vertAlign w:val="subscript"/>
        </w:rPr>
        <w:t>XC,P</w:t>
      </w:r>
      <w:r w:rsidRPr="006E7D8A">
        <w:rPr>
          <w:sz w:val="24"/>
          <w:szCs w:val="24"/>
        </w:rPr>
        <w:t xml:space="preserve">(BY)),  </w:t>
      </w:r>
    </w:p>
    <w:p w14:paraId="75B9BBAA" w14:textId="77777777" w:rsidR="00857857" w:rsidRPr="006E7D8A" w:rsidRDefault="00857857" w:rsidP="006E7D8A">
      <w:pPr>
        <w:pStyle w:val="BodyText2"/>
        <w:spacing w:after="480" w:line="360" w:lineRule="auto"/>
        <w:ind w:left="4410"/>
        <w:rPr>
          <w:sz w:val="24"/>
          <w:szCs w:val="24"/>
        </w:rPr>
      </w:pPr>
      <w:r w:rsidRPr="006E7D8A">
        <w:rPr>
          <w:sz w:val="24"/>
          <w:szCs w:val="24"/>
        </w:rPr>
        <w:lastRenderedPageBreak/>
        <w:t>where:</w:t>
      </w:r>
    </w:p>
    <w:p w14:paraId="71615E64" w14:textId="77777777" w:rsidR="006E7D8A"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X,D,P</w:t>
      </w:r>
      <w:r w:rsidRPr="006E7D8A">
        <w:rPr>
          <w:sz w:val="24"/>
          <w:szCs w:val="24"/>
        </w:rPr>
        <w:t>(BY) = the demonstration group PBPM in the base years in cell (X) and program (P)</w:t>
      </w:r>
    </w:p>
    <w:p w14:paraId="3F6F296D" w14:textId="77777777" w:rsidR="006E7D8A"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X,C,P</w:t>
      </w:r>
      <w:r w:rsidRPr="006E7D8A">
        <w:rPr>
          <w:sz w:val="24"/>
          <w:szCs w:val="24"/>
        </w:rPr>
        <w:t>(BY) = the comparison group PBPM in the base years in cell (X) and program (P)</w:t>
      </w:r>
    </w:p>
    <w:p w14:paraId="26950142" w14:textId="0E034C8D" w:rsidR="00857857"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X,C,P</w:t>
      </w:r>
      <w:r w:rsidRPr="006E7D8A">
        <w:rPr>
          <w:sz w:val="24"/>
          <w:szCs w:val="24"/>
        </w:rPr>
        <w:t xml:space="preserve">(DY) = the comparison group PBPM in the </w:t>
      </w:r>
      <w:r w:rsidR="001C68CA">
        <w:rPr>
          <w:sz w:val="24"/>
          <w:szCs w:val="24"/>
        </w:rPr>
        <w:t>Demonstration Y</w:t>
      </w:r>
      <w:r w:rsidRPr="006E7D8A">
        <w:rPr>
          <w:sz w:val="24"/>
          <w:szCs w:val="24"/>
        </w:rPr>
        <w:t>ear in cell (X) and program (P)</w:t>
      </w:r>
    </w:p>
    <w:p w14:paraId="3D5DFF78" w14:textId="77777777" w:rsidR="006E7D8A" w:rsidRPr="002F0E2E" w:rsidRDefault="00857857" w:rsidP="006E7D8A">
      <w:pPr>
        <w:pStyle w:val="BodyText2"/>
        <w:numPr>
          <w:ilvl w:val="4"/>
          <w:numId w:val="36"/>
        </w:numPr>
        <w:spacing w:after="480" w:line="360" w:lineRule="auto"/>
        <w:ind w:left="4320" w:hanging="1530"/>
        <w:rPr>
          <w:sz w:val="24"/>
          <w:szCs w:val="24"/>
        </w:rPr>
      </w:pPr>
      <w:r w:rsidRPr="006E7D8A">
        <w:rPr>
          <w:sz w:val="24"/>
          <w:szCs w:val="24"/>
        </w:rPr>
        <w:t xml:space="preserve">Percentage savings in aggregate across all cells and both </w:t>
      </w:r>
      <w:r w:rsidRPr="002F0E2E">
        <w:rPr>
          <w:sz w:val="24"/>
          <w:szCs w:val="24"/>
        </w:rPr>
        <w:t xml:space="preserve">Medicare and Medicaid is calculated as follows:  </w:t>
      </w:r>
    </w:p>
    <w:p w14:paraId="5A1E64CD" w14:textId="77777777" w:rsidR="002F0E2E" w:rsidRPr="002F0E2E" w:rsidRDefault="00857857" w:rsidP="002F0E2E">
      <w:pPr>
        <w:pStyle w:val="BodyText2"/>
        <w:spacing w:after="480" w:line="360" w:lineRule="auto"/>
        <w:ind w:left="4320"/>
        <w:rPr>
          <w:sz w:val="24"/>
          <w:szCs w:val="24"/>
        </w:rPr>
      </w:pPr>
      <w:r w:rsidRPr="002F0E2E">
        <w:rPr>
          <w:sz w:val="24"/>
          <w:szCs w:val="24"/>
        </w:rPr>
        <w:t>S%</w:t>
      </w:r>
      <w:r w:rsidRPr="002F0E2E">
        <w:rPr>
          <w:sz w:val="24"/>
          <w:szCs w:val="24"/>
          <w:vertAlign w:val="subscript"/>
        </w:rPr>
        <w:t>Cohort</w:t>
      </w:r>
      <w:r w:rsidRPr="002F0E2E">
        <w:rPr>
          <w:sz w:val="24"/>
          <w:szCs w:val="24"/>
        </w:rPr>
        <w:t xml:space="preserve"> = S$</w:t>
      </w:r>
      <w:r w:rsidRPr="002F0E2E">
        <w:rPr>
          <w:sz w:val="24"/>
          <w:szCs w:val="24"/>
          <w:vertAlign w:val="subscript"/>
        </w:rPr>
        <w:t>Cohort</w:t>
      </w:r>
      <w:r w:rsidRPr="002F0E2E">
        <w:rPr>
          <w:sz w:val="24"/>
          <w:szCs w:val="24"/>
        </w:rPr>
        <w:t xml:space="preserve"> / (M</w:t>
      </w:r>
      <w:r w:rsidRPr="002F0E2E">
        <w:rPr>
          <w:sz w:val="24"/>
          <w:szCs w:val="24"/>
          <w:vertAlign w:val="subscript"/>
        </w:rPr>
        <w:t>Cohort</w:t>
      </w:r>
      <w:r w:rsidRPr="002F0E2E">
        <w:rPr>
          <w:sz w:val="24"/>
          <w:szCs w:val="24"/>
        </w:rPr>
        <w:t xml:space="preserve"> * TPBPM</w:t>
      </w:r>
      <w:r w:rsidRPr="002F0E2E">
        <w:rPr>
          <w:sz w:val="24"/>
          <w:szCs w:val="24"/>
          <w:vertAlign w:val="subscript"/>
        </w:rPr>
        <w:t>Cohort</w:t>
      </w:r>
      <w:r w:rsidRPr="002F0E2E">
        <w:rPr>
          <w:sz w:val="24"/>
          <w:szCs w:val="24"/>
        </w:rPr>
        <w:t>)</w:t>
      </w:r>
      <w:r w:rsidRPr="002F0E2E">
        <w:rPr>
          <w:sz w:val="24"/>
          <w:szCs w:val="24"/>
        </w:rPr>
        <w:tab/>
      </w:r>
    </w:p>
    <w:p w14:paraId="5B0DEDE1" w14:textId="77777777" w:rsidR="00857857" w:rsidRPr="002F0E2E" w:rsidRDefault="00857857" w:rsidP="002F0E2E">
      <w:pPr>
        <w:pStyle w:val="BodyText2"/>
        <w:numPr>
          <w:ilvl w:val="4"/>
          <w:numId w:val="36"/>
        </w:numPr>
        <w:spacing w:after="480" w:line="360" w:lineRule="auto"/>
        <w:ind w:left="4320" w:hanging="1530"/>
        <w:rPr>
          <w:sz w:val="24"/>
          <w:szCs w:val="24"/>
        </w:rPr>
      </w:pPr>
      <w:r w:rsidRPr="002F0E2E">
        <w:rPr>
          <w:sz w:val="24"/>
          <w:szCs w:val="24"/>
        </w:rPr>
        <w:t>Total dollar savings will be the dollar savings from those beneficiaries in the calculation of the percentage savings plus the attributed savings to the cohort of beneficiaries who become eligible for this Demonstration after the start date:</w:t>
      </w:r>
    </w:p>
    <w:p w14:paraId="406BAFAC" w14:textId="77777777" w:rsidR="002F0E2E" w:rsidRDefault="00857857" w:rsidP="002F0E2E">
      <w:pPr>
        <w:pStyle w:val="BodyText2"/>
        <w:numPr>
          <w:ilvl w:val="5"/>
          <w:numId w:val="36"/>
        </w:numPr>
        <w:spacing w:after="480" w:line="360" w:lineRule="auto"/>
        <w:ind w:left="4950"/>
        <w:rPr>
          <w:sz w:val="24"/>
          <w:szCs w:val="24"/>
        </w:rPr>
      </w:pPr>
      <w:r w:rsidRPr="002F0E2E">
        <w:rPr>
          <w:sz w:val="24"/>
          <w:szCs w:val="24"/>
        </w:rPr>
        <w:t>S$</w:t>
      </w:r>
      <w:r w:rsidRPr="002F0E2E">
        <w:rPr>
          <w:sz w:val="24"/>
          <w:szCs w:val="24"/>
          <w:vertAlign w:val="subscript"/>
        </w:rPr>
        <w:t>Total</w:t>
      </w:r>
      <w:r w:rsidRPr="002F0E2E">
        <w:rPr>
          <w:sz w:val="24"/>
          <w:szCs w:val="24"/>
        </w:rPr>
        <w:t xml:space="preserve"> = S$</w:t>
      </w:r>
      <w:r w:rsidRPr="002F0E2E">
        <w:rPr>
          <w:sz w:val="24"/>
          <w:szCs w:val="24"/>
          <w:vertAlign w:val="subscript"/>
        </w:rPr>
        <w:t>Cohort</w:t>
      </w:r>
      <w:r w:rsidRPr="002F0E2E">
        <w:rPr>
          <w:sz w:val="24"/>
          <w:szCs w:val="24"/>
        </w:rPr>
        <w:t xml:space="preserve"> + S%</w:t>
      </w:r>
      <w:r w:rsidRPr="002F0E2E">
        <w:rPr>
          <w:sz w:val="24"/>
          <w:szCs w:val="24"/>
          <w:vertAlign w:val="subscript"/>
        </w:rPr>
        <w:t>Cohort</w:t>
      </w:r>
      <w:r w:rsidRPr="002F0E2E">
        <w:rPr>
          <w:sz w:val="24"/>
          <w:szCs w:val="24"/>
        </w:rPr>
        <w:t xml:space="preserve"> * E</w:t>
      </w:r>
      <w:r w:rsidRPr="002F0E2E">
        <w:rPr>
          <w:sz w:val="24"/>
          <w:szCs w:val="24"/>
          <w:vertAlign w:val="subscript"/>
        </w:rPr>
        <w:t>NewCohort</w:t>
      </w:r>
      <w:r w:rsidRPr="002F0E2E">
        <w:rPr>
          <w:sz w:val="24"/>
          <w:szCs w:val="24"/>
        </w:rPr>
        <w:t>, where: S%</w:t>
      </w:r>
      <w:r w:rsidRPr="002F0E2E">
        <w:rPr>
          <w:sz w:val="24"/>
          <w:szCs w:val="24"/>
          <w:vertAlign w:val="subscript"/>
        </w:rPr>
        <w:t>Cohort</w:t>
      </w:r>
      <w:r w:rsidRPr="002F0E2E">
        <w:rPr>
          <w:sz w:val="24"/>
          <w:szCs w:val="24"/>
        </w:rPr>
        <w:t>, S$</w:t>
      </w:r>
      <w:r w:rsidRPr="002F0E2E">
        <w:rPr>
          <w:sz w:val="24"/>
          <w:szCs w:val="24"/>
          <w:vertAlign w:val="subscript"/>
        </w:rPr>
        <w:t xml:space="preserve"> Cohort</w:t>
      </w:r>
      <w:r w:rsidRPr="002F0E2E">
        <w:rPr>
          <w:sz w:val="24"/>
          <w:szCs w:val="24"/>
        </w:rPr>
        <w:t xml:space="preserve">, M </w:t>
      </w:r>
      <w:r w:rsidRPr="002F0E2E">
        <w:rPr>
          <w:sz w:val="24"/>
          <w:szCs w:val="24"/>
          <w:vertAlign w:val="subscript"/>
        </w:rPr>
        <w:t>Cohort</w:t>
      </w:r>
      <w:r w:rsidRPr="002F0E2E">
        <w:rPr>
          <w:sz w:val="24"/>
          <w:szCs w:val="24"/>
        </w:rPr>
        <w:t xml:space="preserve">, and TPBPM </w:t>
      </w:r>
      <w:r w:rsidRPr="002F0E2E">
        <w:rPr>
          <w:sz w:val="24"/>
          <w:szCs w:val="24"/>
          <w:vertAlign w:val="subscript"/>
        </w:rPr>
        <w:t>Cohort</w:t>
      </w:r>
      <w:r w:rsidRPr="002F0E2E">
        <w:rPr>
          <w:sz w:val="24"/>
          <w:szCs w:val="24"/>
        </w:rPr>
        <w:t xml:space="preserve"> have the </w:t>
      </w:r>
      <w:r w:rsidRPr="002F0E2E">
        <w:rPr>
          <w:sz w:val="24"/>
          <w:szCs w:val="24"/>
        </w:rPr>
        <w:lastRenderedPageBreak/>
        <w:t>meanings described above but summed across all cells and the for the Medicaid and Medicare programs.</w:t>
      </w:r>
    </w:p>
    <w:p w14:paraId="7E3F38A4" w14:textId="77777777" w:rsidR="00857857" w:rsidRPr="002F0E2E" w:rsidRDefault="00857857" w:rsidP="002F0E2E">
      <w:pPr>
        <w:pStyle w:val="BodyText2"/>
        <w:numPr>
          <w:ilvl w:val="5"/>
          <w:numId w:val="36"/>
        </w:numPr>
        <w:spacing w:after="480" w:line="360" w:lineRule="auto"/>
        <w:ind w:left="4950"/>
        <w:rPr>
          <w:sz w:val="24"/>
          <w:szCs w:val="24"/>
        </w:rPr>
      </w:pPr>
      <w:r w:rsidRPr="002F0E2E">
        <w:rPr>
          <w:sz w:val="24"/>
          <w:szCs w:val="24"/>
        </w:rPr>
        <w:t>E</w:t>
      </w:r>
      <w:r w:rsidRPr="002F0E2E">
        <w:rPr>
          <w:sz w:val="24"/>
          <w:szCs w:val="24"/>
          <w:vertAlign w:val="subscript"/>
        </w:rPr>
        <w:t>NewCohort</w:t>
      </w:r>
      <w:r w:rsidRPr="002F0E2E">
        <w:rPr>
          <w:sz w:val="24"/>
          <w:szCs w:val="24"/>
        </w:rPr>
        <w:t xml:space="preserve"> represents the amount spent on beneficiaries in the cohort of beneficiaries who become eligible for this Demonstration after the start date; the percentage savings calculated for the previous cohort(s) is being attributed to the cohort of beneficiaries who become eligible for this Demonstration after the start date in </w:t>
      </w:r>
      <w:r w:rsidRPr="00343B91">
        <w:rPr>
          <w:sz w:val="24"/>
          <w:szCs w:val="24"/>
        </w:rPr>
        <w:t>the equation IV.I.2.e.viii, immediately above.</w:t>
      </w:r>
    </w:p>
    <w:p w14:paraId="5A6CDFA4" w14:textId="77777777" w:rsidR="00554B3A" w:rsidRPr="005C0817" w:rsidRDefault="00857857" w:rsidP="00BE7ABA">
      <w:pPr>
        <w:pStyle w:val="BodyText2"/>
        <w:numPr>
          <w:ilvl w:val="1"/>
          <w:numId w:val="36"/>
        </w:numPr>
        <w:spacing w:after="480" w:line="360" w:lineRule="auto"/>
        <w:ind w:left="1440" w:hanging="720"/>
        <w:outlineLvl w:val="1"/>
        <w:rPr>
          <w:b/>
          <w:sz w:val="24"/>
          <w:szCs w:val="24"/>
        </w:rPr>
      </w:pPr>
      <w:bookmarkStart w:id="16" w:name="_Toc521327541"/>
      <w:r w:rsidRPr="005C0817">
        <w:rPr>
          <w:b/>
          <w:sz w:val="24"/>
          <w:szCs w:val="24"/>
        </w:rPr>
        <w:t>DEMONSTRATION PARAMETERS (APPENDIX 7 of the MOU)</w:t>
      </w:r>
      <w:bookmarkEnd w:id="16"/>
    </w:p>
    <w:p w14:paraId="1DCC7E5B" w14:textId="77777777" w:rsidR="002F0E2E" w:rsidRDefault="00857857" w:rsidP="002F0E2E">
      <w:pPr>
        <w:pStyle w:val="BodyText2"/>
        <w:numPr>
          <w:ilvl w:val="2"/>
          <w:numId w:val="36"/>
        </w:numPr>
        <w:tabs>
          <w:tab w:val="clear" w:pos="2160"/>
          <w:tab w:val="left" w:pos="2430"/>
        </w:tabs>
        <w:spacing w:after="480" w:line="360" w:lineRule="auto"/>
        <w:ind w:left="2160" w:hanging="270"/>
        <w:rPr>
          <w:sz w:val="24"/>
          <w:szCs w:val="24"/>
        </w:rPr>
      </w:pPr>
      <w:r w:rsidRPr="005C0817">
        <w:rPr>
          <w:b/>
          <w:color w:val="000000"/>
          <w:sz w:val="24"/>
          <w:szCs w:val="24"/>
        </w:rPr>
        <w:t>State of Washington Delegation of Administrative Authority and Operational</w:t>
      </w:r>
      <w:r w:rsidRPr="002F0E2E">
        <w:rPr>
          <w:b/>
          <w:color w:val="000000"/>
          <w:sz w:val="24"/>
          <w:szCs w:val="24"/>
        </w:rPr>
        <w:t xml:space="preserve"> Roles and Responsibilities: </w:t>
      </w:r>
      <w:r w:rsidRPr="002F0E2E">
        <w:rPr>
          <w:sz w:val="24"/>
          <w:szCs w:val="24"/>
        </w:rPr>
        <w:t>Intentionally Left Blank</w:t>
      </w:r>
    </w:p>
    <w:p w14:paraId="4918327D" w14:textId="77777777" w:rsidR="002F0E2E" w:rsidRDefault="00554B3A" w:rsidP="002F0E2E">
      <w:pPr>
        <w:pStyle w:val="BodyText2"/>
        <w:numPr>
          <w:ilvl w:val="2"/>
          <w:numId w:val="36"/>
        </w:numPr>
        <w:tabs>
          <w:tab w:val="clear" w:pos="2160"/>
          <w:tab w:val="left" w:pos="2430"/>
        </w:tabs>
        <w:spacing w:after="480" w:line="360" w:lineRule="auto"/>
        <w:ind w:left="2160" w:hanging="270"/>
        <w:rPr>
          <w:sz w:val="24"/>
          <w:szCs w:val="24"/>
        </w:rPr>
      </w:pPr>
      <w:r w:rsidRPr="002F0E2E">
        <w:rPr>
          <w:b/>
          <w:sz w:val="24"/>
          <w:szCs w:val="24"/>
        </w:rPr>
        <w:t>Grievances and Appeals:</w:t>
      </w:r>
      <w:r w:rsidRPr="002F0E2E">
        <w:rPr>
          <w:sz w:val="24"/>
          <w:szCs w:val="24"/>
        </w:rPr>
        <w:t xml:space="preserve"> Intentionally Left Blank</w:t>
      </w:r>
    </w:p>
    <w:p w14:paraId="4055BF8D" w14:textId="77777777" w:rsidR="00554B3A" w:rsidRPr="00737FEF" w:rsidRDefault="00554B3A" w:rsidP="002F0E2E">
      <w:pPr>
        <w:pStyle w:val="BodyText2"/>
        <w:numPr>
          <w:ilvl w:val="2"/>
          <w:numId w:val="36"/>
        </w:numPr>
        <w:tabs>
          <w:tab w:val="clear" w:pos="2160"/>
          <w:tab w:val="left" w:pos="2430"/>
        </w:tabs>
        <w:spacing w:after="480" w:line="360" w:lineRule="auto"/>
        <w:ind w:left="2160" w:hanging="270"/>
        <w:rPr>
          <w:b/>
          <w:sz w:val="24"/>
          <w:szCs w:val="24"/>
        </w:rPr>
      </w:pPr>
      <w:r w:rsidRPr="00737FEF">
        <w:rPr>
          <w:b/>
          <w:sz w:val="24"/>
          <w:szCs w:val="24"/>
        </w:rPr>
        <w:t>Administration and Oversight</w:t>
      </w:r>
    </w:p>
    <w:p w14:paraId="34A24B68" w14:textId="55ADE249" w:rsidR="008830D4" w:rsidRDefault="00554B3A" w:rsidP="008830D4">
      <w:pPr>
        <w:pStyle w:val="BodyText2"/>
        <w:numPr>
          <w:ilvl w:val="3"/>
          <w:numId w:val="36"/>
        </w:numPr>
        <w:tabs>
          <w:tab w:val="clear" w:pos="4320"/>
        </w:tabs>
        <w:spacing w:after="480" w:line="360" w:lineRule="auto"/>
        <w:ind w:left="3690" w:hanging="1530"/>
        <w:rPr>
          <w:sz w:val="24"/>
          <w:szCs w:val="24"/>
        </w:rPr>
      </w:pPr>
      <w:r w:rsidRPr="002F0E2E">
        <w:rPr>
          <w:i/>
          <w:color w:val="000000"/>
          <w:sz w:val="24"/>
          <w:szCs w:val="24"/>
        </w:rPr>
        <w:t>Monthly Eligibility File Submissions:</w:t>
      </w:r>
      <w:r w:rsidRPr="002F0E2E">
        <w:rPr>
          <w:color w:val="000000"/>
          <w:sz w:val="24"/>
          <w:szCs w:val="24"/>
        </w:rPr>
        <w:t xml:space="preserve">  </w:t>
      </w:r>
      <w:r w:rsidRPr="00F95EBB">
        <w:rPr>
          <w:color w:val="000000"/>
          <w:sz w:val="24"/>
          <w:szCs w:val="24"/>
        </w:rPr>
        <w:t>Beginning June 2013, Washington must submit a monthly eligibility file to CMS’ beneficiary alignment contractor</w:t>
      </w:r>
      <w:r w:rsidR="003043BF" w:rsidRPr="00F95EBB">
        <w:rPr>
          <w:color w:val="000000"/>
          <w:sz w:val="24"/>
          <w:szCs w:val="24"/>
        </w:rPr>
        <w:t>.</w:t>
      </w:r>
      <w:r w:rsidR="003043BF" w:rsidRPr="002F0E2E">
        <w:rPr>
          <w:color w:val="000000"/>
          <w:sz w:val="24"/>
          <w:szCs w:val="24"/>
        </w:rPr>
        <w:t xml:space="preserve"> </w:t>
      </w:r>
      <w:r w:rsidRPr="002F0E2E">
        <w:rPr>
          <w:color w:val="000000"/>
          <w:sz w:val="24"/>
          <w:szCs w:val="24"/>
        </w:rPr>
        <w:t xml:space="preserve">This data will be updated into CMS’ </w:t>
      </w:r>
      <w:r w:rsidRPr="002F0E2E">
        <w:rPr>
          <w:color w:val="000000"/>
          <w:sz w:val="24"/>
          <w:szCs w:val="24"/>
        </w:rPr>
        <w:lastRenderedPageBreak/>
        <w:t xml:space="preserve">Master Database Management (MDM) system for beneficiary attribution </w:t>
      </w:r>
      <w:r w:rsidR="00605A74" w:rsidRPr="002F0E2E">
        <w:rPr>
          <w:color w:val="000000"/>
          <w:sz w:val="24"/>
          <w:szCs w:val="24"/>
        </w:rPr>
        <w:t>purposes and</w:t>
      </w:r>
      <w:r w:rsidRPr="002F0E2E">
        <w:rPr>
          <w:color w:val="000000"/>
          <w:sz w:val="24"/>
          <w:szCs w:val="24"/>
        </w:rPr>
        <w:t xml:space="preserve"> used by the evaluation contractor to identify the eligible population.</w:t>
      </w:r>
    </w:p>
    <w:p w14:paraId="51339DB0" w14:textId="77777777" w:rsidR="00554B3A" w:rsidRPr="008830D4" w:rsidRDefault="00554B3A" w:rsidP="008830D4">
      <w:pPr>
        <w:pStyle w:val="BodyText2"/>
        <w:numPr>
          <w:ilvl w:val="4"/>
          <w:numId w:val="36"/>
        </w:numPr>
        <w:tabs>
          <w:tab w:val="clear" w:pos="4320"/>
        </w:tabs>
        <w:spacing w:after="480" w:line="360" w:lineRule="auto"/>
        <w:ind w:left="4410" w:hanging="1530"/>
        <w:rPr>
          <w:sz w:val="24"/>
          <w:szCs w:val="24"/>
        </w:rPr>
      </w:pPr>
      <w:r w:rsidRPr="008830D4">
        <w:rPr>
          <w:color w:val="000000"/>
          <w:sz w:val="24"/>
          <w:szCs w:val="24"/>
        </w:rPr>
        <w:t>Washington will need to provide information including but not limited to the following:</w:t>
      </w:r>
    </w:p>
    <w:p w14:paraId="443538A9"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Beneficiary-level data identifying beneficiaries eligible for the Demonstration</w:t>
      </w:r>
    </w:p>
    <w:p w14:paraId="48CB8F6C"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Medicare Beneficiary Claim Account Number (HICN)</w:t>
      </w:r>
    </w:p>
    <w:p w14:paraId="444A0EE1"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ProviderOne Identification number</w:t>
      </w:r>
    </w:p>
    <w:p w14:paraId="6829B61C"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Social Security Number</w:t>
      </w:r>
    </w:p>
    <w:p w14:paraId="233C515A"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Gender</w:t>
      </w:r>
    </w:p>
    <w:p w14:paraId="5C09A2DD"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Person First and Last Name, Birthdate, and Zip Code</w:t>
      </w:r>
    </w:p>
    <w:p w14:paraId="78B9E8D3" w14:textId="32F2FD6C"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Eligibility identification flag - Coded 0 if not identified as eligible for the Demonstration, 1 if identified by administrative criteria (</w:t>
      </w:r>
      <w:r w:rsidR="00605A74" w:rsidRPr="008830D4">
        <w:rPr>
          <w:color w:val="000000"/>
          <w:sz w:val="24"/>
          <w:szCs w:val="24"/>
        </w:rPr>
        <w:t>e.g.,</w:t>
      </w:r>
      <w:r w:rsidRPr="008830D4">
        <w:rPr>
          <w:color w:val="000000"/>
          <w:sz w:val="24"/>
          <w:szCs w:val="24"/>
        </w:rPr>
        <w:t xml:space="preserve"> claims), </w:t>
      </w:r>
      <w:r w:rsidRPr="008830D4">
        <w:rPr>
          <w:color w:val="000000"/>
          <w:sz w:val="24"/>
          <w:szCs w:val="24"/>
        </w:rPr>
        <w:lastRenderedPageBreak/>
        <w:t>and 2 if by non-administrative criteria (</w:t>
      </w:r>
      <w:r w:rsidR="00605A74" w:rsidRPr="008830D4">
        <w:rPr>
          <w:color w:val="000000"/>
          <w:sz w:val="24"/>
          <w:szCs w:val="24"/>
        </w:rPr>
        <w:t>e.g.,</w:t>
      </w:r>
      <w:r w:rsidRPr="008830D4">
        <w:rPr>
          <w:color w:val="000000"/>
          <w:sz w:val="24"/>
          <w:szCs w:val="24"/>
        </w:rPr>
        <w:t xml:space="preserve"> BMI, smoking)</w:t>
      </w:r>
    </w:p>
    <w:p w14:paraId="0F25E01D"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Monthly Demonstration eligibility indicator (Each monthly eligibility flag variable would be coded 1 if eligible, and 0 if not)</w:t>
      </w:r>
    </w:p>
    <w:p w14:paraId="3B137CF2"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Monthly Health Home Enrollment indicator (Each monthly enrollment flag variable would be coded 1 if enrolled with a Health Home Lead Entity, and 0 if not)</w:t>
      </w:r>
    </w:p>
    <w:p w14:paraId="75AD2388"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Monthly Health Home Engagement indicator (Each monthly engagement variable would be coded 1 if received a health home service during the month, and 0 if not</w:t>
      </w:r>
      <w:r w:rsidR="008830D4">
        <w:rPr>
          <w:color w:val="000000"/>
          <w:sz w:val="24"/>
          <w:szCs w:val="24"/>
        </w:rPr>
        <w:t>)</w:t>
      </w:r>
    </w:p>
    <w:p w14:paraId="0E390D86" w14:textId="77777777" w:rsidR="00857857" w:rsidRPr="008830D4" w:rsidRDefault="00554B3A" w:rsidP="008830D4">
      <w:pPr>
        <w:pStyle w:val="BodyText2"/>
        <w:numPr>
          <w:ilvl w:val="4"/>
          <w:numId w:val="36"/>
        </w:numPr>
        <w:spacing w:after="480" w:line="360" w:lineRule="auto"/>
        <w:ind w:left="4410" w:hanging="1530"/>
        <w:rPr>
          <w:sz w:val="24"/>
          <w:szCs w:val="24"/>
        </w:rPr>
      </w:pPr>
      <w:r w:rsidRPr="008830D4">
        <w:rPr>
          <w:color w:val="000000"/>
          <w:sz w:val="24"/>
          <w:szCs w:val="24"/>
        </w:rPr>
        <w:t>Washington shall also submit summary level data for the State Data Reporting System on a quarterly basis, including monthly data for the following but not limited to:</w:t>
      </w:r>
    </w:p>
    <w:p w14:paraId="3DC87D8F"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The number of beneficiaries eligible for the Demonstration, appropriately excluding all individual beneficiaries not eligible for the Demonstration.</w:t>
      </w:r>
    </w:p>
    <w:p w14:paraId="4F85B369" w14:textId="785AA53C"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lastRenderedPageBreak/>
        <w:t>The number of beneficiaries who are no longer eligible for the Demonstration (</w:t>
      </w:r>
      <w:r w:rsidR="00605A74" w:rsidRPr="008830D4">
        <w:rPr>
          <w:color w:val="000000"/>
          <w:sz w:val="24"/>
          <w:szCs w:val="24"/>
        </w:rPr>
        <w:t>e.g.,</w:t>
      </w:r>
      <w:r w:rsidRPr="008830D4">
        <w:rPr>
          <w:color w:val="000000"/>
          <w:sz w:val="24"/>
          <w:szCs w:val="24"/>
        </w:rPr>
        <w:t xml:space="preserve"> through Medicare Advantage enrollment or moving out of the State).</w:t>
      </w:r>
    </w:p>
    <w:p w14:paraId="5740A287"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The number of Health Home Lead Entities participating in the Demonstration.</w:t>
      </w:r>
    </w:p>
    <w:p w14:paraId="65A7F7A6" w14:textId="77777777" w:rsidR="00554B3A" w:rsidRPr="008830D4" w:rsidRDefault="00554B3A" w:rsidP="008830D4">
      <w:pPr>
        <w:pStyle w:val="BodyText2"/>
        <w:numPr>
          <w:ilvl w:val="3"/>
          <w:numId w:val="36"/>
        </w:numPr>
        <w:tabs>
          <w:tab w:val="clear" w:pos="4320"/>
        </w:tabs>
        <w:spacing w:after="480" w:line="360" w:lineRule="auto"/>
        <w:ind w:left="3690" w:hanging="1530"/>
        <w:rPr>
          <w:sz w:val="24"/>
          <w:szCs w:val="24"/>
        </w:rPr>
      </w:pPr>
      <w:r w:rsidRPr="008830D4">
        <w:rPr>
          <w:i/>
          <w:color w:val="000000"/>
          <w:sz w:val="24"/>
          <w:szCs w:val="24"/>
        </w:rPr>
        <w:t>Quality Metrics and Reporting for Determining the Retrospective Performance Payment</w:t>
      </w:r>
    </w:p>
    <w:p w14:paraId="77D476A4" w14:textId="77777777" w:rsidR="008830D4" w:rsidRDefault="00554B3A" w:rsidP="008830D4">
      <w:pPr>
        <w:pStyle w:val="BodyText2"/>
        <w:numPr>
          <w:ilvl w:val="4"/>
          <w:numId w:val="36"/>
        </w:numPr>
        <w:spacing w:after="480" w:line="360" w:lineRule="auto"/>
        <w:ind w:left="4320" w:hanging="1440"/>
        <w:rPr>
          <w:sz w:val="24"/>
          <w:szCs w:val="24"/>
        </w:rPr>
      </w:pPr>
      <w:r w:rsidRPr="008830D4">
        <w:rPr>
          <w:sz w:val="24"/>
          <w:szCs w:val="24"/>
        </w:rPr>
        <w:t>CMS will review and update the Demonstration core measures and measure specifications annually to ensure compliance with current science on measure development, and consistency with other CMS initiatives when applicable and appropriate.</w:t>
      </w:r>
    </w:p>
    <w:p w14:paraId="2CD85B87" w14:textId="77777777" w:rsidR="008830D4" w:rsidRPr="008830D4" w:rsidRDefault="00554B3A" w:rsidP="008830D4">
      <w:pPr>
        <w:pStyle w:val="BodyText2"/>
        <w:numPr>
          <w:ilvl w:val="4"/>
          <w:numId w:val="36"/>
        </w:numPr>
        <w:spacing w:after="480" w:line="360" w:lineRule="auto"/>
        <w:ind w:left="4320" w:hanging="1440"/>
        <w:rPr>
          <w:sz w:val="24"/>
          <w:szCs w:val="24"/>
        </w:rPr>
      </w:pPr>
      <w:r w:rsidRPr="008830D4">
        <w:rPr>
          <w:sz w:val="24"/>
          <w:szCs w:val="24"/>
        </w:rPr>
        <w:t>The State will review and, with CMS approval, update State-specific measures and measure specifications annually to ensure compliance with current science on measure development. Where applicable and appropriate, CMS and the State will adhere to nationally-endorsed specifications and Medicaid modifications for relevant measures.</w:t>
      </w:r>
    </w:p>
    <w:p w14:paraId="033C1DE4" w14:textId="77777777" w:rsidR="008830D4" w:rsidRPr="00343B91" w:rsidRDefault="00554B3A" w:rsidP="008830D4">
      <w:pPr>
        <w:pStyle w:val="BodyText2"/>
        <w:numPr>
          <w:ilvl w:val="4"/>
          <w:numId w:val="36"/>
        </w:numPr>
        <w:spacing w:after="480" w:line="360" w:lineRule="auto"/>
        <w:ind w:left="4320" w:hanging="1440"/>
        <w:rPr>
          <w:sz w:val="24"/>
          <w:szCs w:val="24"/>
        </w:rPr>
      </w:pPr>
      <w:r w:rsidRPr="008830D4">
        <w:rPr>
          <w:sz w:val="24"/>
          <w:szCs w:val="24"/>
        </w:rPr>
        <w:lastRenderedPageBreak/>
        <w:t xml:space="preserve">CMS will establish benchmarks for each core measure based on an analysis of the State’s quality performance and national references, as further detailed in Section IV.J.3.b.v.1 below. The State will be allowed to review and comment on the CMS proposed core measure benchmarks. For State-specific process and Demonstration measures, the State will provide CMS with recommended benchmarks and supporting analysis. CMS will </w:t>
      </w:r>
      <w:r w:rsidRPr="00343B91">
        <w:rPr>
          <w:sz w:val="24"/>
          <w:szCs w:val="24"/>
        </w:rPr>
        <w:t>approve the final benchmarks for all measures. CMS and the State will consider modification of benchmarks when the specifications for a measure are changed from the previous year.</w:t>
      </w:r>
    </w:p>
    <w:p w14:paraId="3453711F" w14:textId="0E74BFA3" w:rsidR="002C0784" w:rsidRPr="00343B91" w:rsidRDefault="00554B3A" w:rsidP="008830D4">
      <w:pPr>
        <w:pStyle w:val="BodyText2"/>
        <w:numPr>
          <w:ilvl w:val="4"/>
          <w:numId w:val="36"/>
        </w:numPr>
        <w:spacing w:after="480" w:line="360" w:lineRule="auto"/>
        <w:ind w:left="4320" w:hanging="1440"/>
        <w:rPr>
          <w:sz w:val="24"/>
          <w:szCs w:val="24"/>
        </w:rPr>
        <w:sectPr w:rsidR="002C0784" w:rsidRPr="00343B91" w:rsidSect="00176105">
          <w:headerReference w:type="default" r:id="rId19"/>
          <w:footerReference w:type="default" r:id="rId20"/>
          <w:endnotePr>
            <w:numFmt w:val="decimal"/>
          </w:endnotePr>
          <w:type w:val="continuous"/>
          <w:pgSz w:w="12240" w:h="15840" w:code="1"/>
          <w:pgMar w:top="1440" w:right="1800" w:bottom="1440" w:left="1800" w:header="720" w:footer="720" w:gutter="0"/>
          <w:cols w:space="720"/>
          <w:noEndnote/>
          <w:docGrid w:linePitch="326"/>
        </w:sectPr>
      </w:pPr>
      <w:r w:rsidRPr="00343B91">
        <w:rPr>
          <w:sz w:val="24"/>
          <w:szCs w:val="24"/>
        </w:rPr>
        <w:t>The Demonstration Measurement Set (including core measures revised from the MOU, State-specific process measures, and State-specific Demonstration measures) are as follows for the 37 original counties</w:t>
      </w:r>
      <w:r w:rsidR="00B277DB">
        <w:rPr>
          <w:sz w:val="24"/>
          <w:szCs w:val="24"/>
        </w:rPr>
        <w:t xml:space="preserve"> for Demonstration Years 1-</w:t>
      </w:r>
      <w:r w:rsidR="000C5CF8">
        <w:rPr>
          <w:sz w:val="24"/>
          <w:szCs w:val="24"/>
        </w:rPr>
        <w:t>5</w:t>
      </w:r>
      <w:r w:rsidRPr="00343B91">
        <w:rPr>
          <w:sz w:val="24"/>
          <w:szCs w:val="24"/>
        </w:rPr>
        <w:t xml:space="preserve"> </w:t>
      </w:r>
      <w:r w:rsidR="00372FAD">
        <w:rPr>
          <w:sz w:val="24"/>
          <w:szCs w:val="24"/>
        </w:rPr>
        <w:t>and statewide for Demonstration Year</w:t>
      </w:r>
      <w:r w:rsidR="000C5CF8">
        <w:rPr>
          <w:sz w:val="24"/>
          <w:szCs w:val="24"/>
        </w:rPr>
        <w:t>s 6-</w:t>
      </w:r>
      <w:r w:rsidR="00624044">
        <w:rPr>
          <w:sz w:val="24"/>
          <w:szCs w:val="24"/>
        </w:rPr>
        <w:t>11</w:t>
      </w:r>
      <w:r w:rsidR="00B82ABB">
        <w:rPr>
          <w:sz w:val="24"/>
          <w:szCs w:val="24"/>
        </w:rPr>
        <w:t xml:space="preserve"> </w:t>
      </w:r>
      <w:r w:rsidRPr="00343B91">
        <w:rPr>
          <w:sz w:val="24"/>
          <w:szCs w:val="24"/>
        </w:rPr>
        <w:t>(Table 1)</w:t>
      </w:r>
      <w:r w:rsidR="00691337">
        <w:rPr>
          <w:sz w:val="24"/>
          <w:szCs w:val="24"/>
        </w:rPr>
        <w:t>,</w:t>
      </w:r>
      <w:r w:rsidRPr="00343B91">
        <w:rPr>
          <w:sz w:val="24"/>
          <w:szCs w:val="24"/>
        </w:rPr>
        <w:t xml:space="preserve"> and for King and Snohomish counties </w:t>
      </w:r>
      <w:r w:rsidR="000C5CF8">
        <w:rPr>
          <w:sz w:val="24"/>
          <w:szCs w:val="24"/>
        </w:rPr>
        <w:t>for Demonstration Years 4-5</w:t>
      </w:r>
      <w:r w:rsidR="00372FAD">
        <w:rPr>
          <w:sz w:val="24"/>
          <w:szCs w:val="24"/>
        </w:rPr>
        <w:t xml:space="preserve"> </w:t>
      </w:r>
      <w:r w:rsidRPr="00343B91">
        <w:rPr>
          <w:sz w:val="24"/>
          <w:szCs w:val="24"/>
        </w:rPr>
        <w:t>(Table 2):</w:t>
      </w:r>
    </w:p>
    <w:p w14:paraId="04242C52" w14:textId="65D0A6FF" w:rsidR="002C0784" w:rsidRPr="0041676F" w:rsidRDefault="00D652B3" w:rsidP="00A83A7D">
      <w:pPr>
        <w:pStyle w:val="BodyText2"/>
        <w:spacing w:line="360" w:lineRule="auto"/>
        <w:ind w:hanging="446"/>
        <w:rPr>
          <w:b/>
          <w:sz w:val="24"/>
          <w:szCs w:val="24"/>
          <w:vertAlign w:val="superscript"/>
        </w:rPr>
      </w:pPr>
      <w:r w:rsidRPr="00997972">
        <w:rPr>
          <w:b/>
          <w:sz w:val="24"/>
          <w:szCs w:val="24"/>
        </w:rPr>
        <w:lastRenderedPageBreak/>
        <w:t>Table 1 – Demonstration Measurement Set –</w:t>
      </w:r>
      <w:r w:rsidR="003638D6">
        <w:rPr>
          <w:b/>
          <w:sz w:val="24"/>
          <w:szCs w:val="24"/>
        </w:rPr>
        <w:t xml:space="preserve"> </w:t>
      </w:r>
      <w:r w:rsidR="003A5859" w:rsidRPr="00997972">
        <w:rPr>
          <w:b/>
          <w:sz w:val="24"/>
          <w:szCs w:val="24"/>
        </w:rPr>
        <w:t>DYs 1-</w:t>
      </w:r>
      <w:r w:rsidR="000C5CF8" w:rsidRPr="00997972">
        <w:rPr>
          <w:b/>
          <w:sz w:val="24"/>
          <w:szCs w:val="24"/>
        </w:rPr>
        <w:t>5</w:t>
      </w:r>
      <w:r w:rsidR="003A5859" w:rsidRPr="00997972">
        <w:rPr>
          <w:b/>
          <w:sz w:val="24"/>
          <w:szCs w:val="24"/>
        </w:rPr>
        <w:t xml:space="preserve"> </w:t>
      </w:r>
      <w:r w:rsidR="000C5CF8" w:rsidRPr="00997972">
        <w:rPr>
          <w:b/>
          <w:sz w:val="24"/>
          <w:szCs w:val="24"/>
        </w:rPr>
        <w:t xml:space="preserve">(Region 1, 37 Original Counties) </w:t>
      </w:r>
      <w:r w:rsidR="003A5859" w:rsidRPr="00997972">
        <w:rPr>
          <w:b/>
          <w:sz w:val="24"/>
          <w:szCs w:val="24"/>
        </w:rPr>
        <w:t>and DY</w:t>
      </w:r>
      <w:r w:rsidR="000C5CF8" w:rsidRPr="00997972">
        <w:rPr>
          <w:b/>
          <w:sz w:val="24"/>
          <w:szCs w:val="24"/>
        </w:rPr>
        <w:t>s 6-</w:t>
      </w:r>
      <w:r w:rsidR="00624044">
        <w:rPr>
          <w:b/>
          <w:sz w:val="24"/>
          <w:szCs w:val="24"/>
        </w:rPr>
        <w:t>11</w:t>
      </w:r>
      <w:r w:rsidR="00B82ABB" w:rsidRPr="00997972">
        <w:rPr>
          <w:b/>
          <w:sz w:val="24"/>
          <w:szCs w:val="24"/>
        </w:rPr>
        <w:t xml:space="preserve"> </w:t>
      </w:r>
      <w:r w:rsidR="003A5859" w:rsidRPr="00997972">
        <w:rPr>
          <w:b/>
          <w:sz w:val="24"/>
          <w:szCs w:val="24"/>
        </w:rPr>
        <w:t>(Statewide)</w:t>
      </w:r>
      <w:r w:rsidRPr="00997972">
        <w:rPr>
          <w:b/>
          <w:sz w:val="24"/>
          <w:szCs w:val="24"/>
          <w:vertAlign w:val="superscript"/>
        </w:rPr>
        <w:t>1</w:t>
      </w:r>
    </w:p>
    <w:tbl>
      <w:tblPr>
        <w:tblStyle w:val="TableGrid"/>
        <w:tblW w:w="14760" w:type="dxa"/>
        <w:tblInd w:w="-1175" w:type="dxa"/>
        <w:tblLayout w:type="fixed"/>
        <w:tblLook w:val="04A0" w:firstRow="1" w:lastRow="0" w:firstColumn="1" w:lastColumn="0" w:noHBand="0" w:noVBand="1"/>
        <w:tblCaption w:val="Table 1-Demonstration Measure Set-DYs 1-5 (Region 1, 37 Original Counties) and DYs 6-11 (Statewide)"/>
        <w:tblDescription w:val="This table presents the demonstration measurement set for region 1 for the 37 original counties for years 1 through 5 and the statewide measurement set for years 6 through 11, including measure numbers and model core measure descriptions."/>
      </w:tblPr>
      <w:tblGrid>
        <w:gridCol w:w="1170"/>
        <w:gridCol w:w="1530"/>
        <w:gridCol w:w="1260"/>
        <w:gridCol w:w="1350"/>
        <w:gridCol w:w="1350"/>
        <w:gridCol w:w="1350"/>
        <w:gridCol w:w="1350"/>
        <w:gridCol w:w="1350"/>
        <w:gridCol w:w="1350"/>
        <w:gridCol w:w="1350"/>
        <w:gridCol w:w="1350"/>
      </w:tblGrid>
      <w:tr w:rsidR="00785D1E" w:rsidRPr="0041676F" w14:paraId="465AC307" w14:textId="370D46E8" w:rsidTr="00640313">
        <w:trPr>
          <w:trHeight w:val="620"/>
          <w:tblHeader/>
        </w:trPr>
        <w:tc>
          <w:tcPr>
            <w:tcW w:w="1170" w:type="dxa"/>
            <w:shd w:val="clear" w:color="auto" w:fill="BFBFBF" w:themeFill="background1" w:themeFillShade="BF"/>
          </w:tcPr>
          <w:p w14:paraId="6B9C5DFC" w14:textId="1D1C8A27" w:rsidR="00785D1E" w:rsidRPr="0041676F" w:rsidRDefault="00785D1E" w:rsidP="00AF620B">
            <w:pPr>
              <w:pStyle w:val="BodyText2"/>
              <w:rPr>
                <w:b/>
                <w:sz w:val="24"/>
                <w:szCs w:val="24"/>
              </w:rPr>
            </w:pPr>
            <w:r w:rsidRPr="0041676F">
              <w:rPr>
                <w:b/>
                <w:sz w:val="24"/>
                <w:szCs w:val="24"/>
              </w:rPr>
              <w:t>Measure Number</w:t>
            </w:r>
          </w:p>
        </w:tc>
        <w:tc>
          <w:tcPr>
            <w:tcW w:w="1530" w:type="dxa"/>
            <w:tcBorders>
              <w:bottom w:val="single" w:sz="4" w:space="0" w:color="auto"/>
            </w:tcBorders>
            <w:shd w:val="clear" w:color="auto" w:fill="BFBFBF" w:themeFill="background1" w:themeFillShade="BF"/>
          </w:tcPr>
          <w:p w14:paraId="68CE706D" w14:textId="5256D6F6" w:rsidR="00785D1E" w:rsidRPr="0041676F" w:rsidRDefault="00785D1E" w:rsidP="00AF620B">
            <w:pPr>
              <w:pStyle w:val="BodyText2"/>
              <w:rPr>
                <w:b/>
                <w:sz w:val="24"/>
                <w:szCs w:val="24"/>
              </w:rPr>
            </w:pPr>
            <w:r w:rsidRPr="0041676F">
              <w:rPr>
                <w:b/>
                <w:sz w:val="24"/>
                <w:szCs w:val="24"/>
              </w:rPr>
              <w:t>Measure Description</w:t>
            </w:r>
          </w:p>
        </w:tc>
        <w:tc>
          <w:tcPr>
            <w:tcW w:w="1260" w:type="dxa"/>
            <w:tcBorders>
              <w:bottom w:val="single" w:sz="4" w:space="0" w:color="auto"/>
            </w:tcBorders>
            <w:shd w:val="clear" w:color="auto" w:fill="BFBFBF" w:themeFill="background1" w:themeFillShade="BF"/>
          </w:tcPr>
          <w:p w14:paraId="20C474F4" w14:textId="77777777" w:rsidR="00785D1E" w:rsidRPr="0041676F" w:rsidRDefault="00785D1E" w:rsidP="00AF620B">
            <w:pPr>
              <w:pStyle w:val="BodyText2"/>
              <w:rPr>
                <w:b/>
                <w:sz w:val="24"/>
                <w:szCs w:val="24"/>
              </w:rPr>
            </w:pPr>
            <w:r w:rsidRPr="0041676F">
              <w:rPr>
                <w:b/>
                <w:sz w:val="24"/>
                <w:szCs w:val="24"/>
              </w:rPr>
              <w:t>Year 1</w:t>
            </w:r>
          </w:p>
          <w:p w14:paraId="52BBFB4F" w14:textId="5B9E709B" w:rsidR="00785D1E" w:rsidRPr="0041676F" w:rsidRDefault="00785D1E" w:rsidP="00AF620B">
            <w:pPr>
              <w:pStyle w:val="BodyText2"/>
              <w:rPr>
                <w:sz w:val="24"/>
                <w:szCs w:val="24"/>
              </w:rPr>
            </w:pPr>
            <w:r w:rsidRPr="0041676F">
              <w:rPr>
                <w:sz w:val="24"/>
                <w:szCs w:val="24"/>
              </w:rPr>
              <w:t>(Region 1)</w:t>
            </w:r>
          </w:p>
        </w:tc>
        <w:tc>
          <w:tcPr>
            <w:tcW w:w="1350" w:type="dxa"/>
            <w:tcBorders>
              <w:bottom w:val="single" w:sz="4" w:space="0" w:color="auto"/>
            </w:tcBorders>
            <w:shd w:val="clear" w:color="auto" w:fill="BFBFBF" w:themeFill="background1" w:themeFillShade="BF"/>
          </w:tcPr>
          <w:p w14:paraId="6852BF5A" w14:textId="77777777" w:rsidR="00785D1E" w:rsidRPr="0041676F" w:rsidRDefault="00785D1E" w:rsidP="00AF620B">
            <w:pPr>
              <w:pStyle w:val="BodyText2"/>
              <w:rPr>
                <w:b/>
                <w:sz w:val="24"/>
                <w:szCs w:val="24"/>
              </w:rPr>
            </w:pPr>
            <w:r w:rsidRPr="0041676F">
              <w:rPr>
                <w:b/>
                <w:sz w:val="24"/>
                <w:szCs w:val="24"/>
              </w:rPr>
              <w:t>Year 2</w:t>
            </w:r>
          </w:p>
          <w:p w14:paraId="10A4ED41" w14:textId="5D5E4AF8" w:rsidR="00785D1E" w:rsidRPr="0041676F" w:rsidRDefault="00785D1E" w:rsidP="00AF620B">
            <w:pPr>
              <w:pStyle w:val="BodyText2"/>
              <w:rPr>
                <w:sz w:val="24"/>
                <w:szCs w:val="24"/>
              </w:rPr>
            </w:pPr>
            <w:r w:rsidRPr="0041676F">
              <w:rPr>
                <w:sz w:val="24"/>
                <w:szCs w:val="24"/>
              </w:rPr>
              <w:t>(Region 1)</w:t>
            </w:r>
          </w:p>
        </w:tc>
        <w:tc>
          <w:tcPr>
            <w:tcW w:w="1350" w:type="dxa"/>
            <w:tcBorders>
              <w:bottom w:val="single" w:sz="4" w:space="0" w:color="auto"/>
            </w:tcBorders>
            <w:shd w:val="clear" w:color="auto" w:fill="BFBFBF" w:themeFill="background1" w:themeFillShade="BF"/>
          </w:tcPr>
          <w:p w14:paraId="056F01A9" w14:textId="77777777" w:rsidR="00785D1E" w:rsidRPr="0041676F" w:rsidRDefault="00785D1E" w:rsidP="00AF620B">
            <w:pPr>
              <w:pStyle w:val="BodyText2"/>
              <w:rPr>
                <w:b/>
                <w:sz w:val="24"/>
                <w:szCs w:val="24"/>
              </w:rPr>
            </w:pPr>
            <w:r w:rsidRPr="0041676F">
              <w:rPr>
                <w:b/>
                <w:sz w:val="24"/>
                <w:szCs w:val="24"/>
              </w:rPr>
              <w:t>Year 3</w:t>
            </w:r>
          </w:p>
          <w:p w14:paraId="222E8B24" w14:textId="0E9F63A6"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13BE9413" w14:textId="77777777" w:rsidR="00785D1E" w:rsidRPr="00B95124" w:rsidRDefault="00785D1E" w:rsidP="00AF620B">
            <w:pPr>
              <w:pStyle w:val="BodyText2"/>
              <w:rPr>
                <w:b/>
                <w:sz w:val="24"/>
                <w:szCs w:val="24"/>
              </w:rPr>
            </w:pPr>
            <w:r w:rsidRPr="00B95124">
              <w:rPr>
                <w:b/>
                <w:sz w:val="24"/>
                <w:szCs w:val="24"/>
              </w:rPr>
              <w:t>Year 4</w:t>
            </w:r>
          </w:p>
          <w:p w14:paraId="6E9CA437" w14:textId="11435C4B"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60387658" w14:textId="77777777" w:rsidR="00785D1E" w:rsidRPr="00B95124" w:rsidRDefault="00785D1E" w:rsidP="00AF620B">
            <w:pPr>
              <w:pStyle w:val="BodyText2"/>
              <w:rPr>
                <w:b/>
                <w:sz w:val="24"/>
                <w:szCs w:val="24"/>
              </w:rPr>
            </w:pPr>
            <w:r w:rsidRPr="00B95124">
              <w:rPr>
                <w:b/>
                <w:sz w:val="24"/>
                <w:szCs w:val="24"/>
              </w:rPr>
              <w:t>Year 5</w:t>
            </w:r>
          </w:p>
          <w:p w14:paraId="0A54BE68" w14:textId="557C3F2C"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2D667C16" w14:textId="77777777" w:rsidR="00785D1E" w:rsidRPr="0041676F" w:rsidRDefault="00785D1E" w:rsidP="00AF620B">
            <w:pPr>
              <w:pStyle w:val="BodyText2"/>
              <w:rPr>
                <w:b/>
                <w:sz w:val="24"/>
                <w:szCs w:val="24"/>
              </w:rPr>
            </w:pPr>
            <w:r w:rsidRPr="0041676F">
              <w:rPr>
                <w:b/>
                <w:sz w:val="24"/>
                <w:szCs w:val="24"/>
              </w:rPr>
              <w:t>Year 6</w:t>
            </w:r>
          </w:p>
          <w:p w14:paraId="701948F6" w14:textId="76E16190" w:rsidR="00785D1E" w:rsidRPr="0041676F" w:rsidRDefault="00785D1E" w:rsidP="000C5CF8">
            <w:pPr>
              <w:pStyle w:val="BodyText2"/>
              <w:rPr>
                <w:sz w:val="24"/>
                <w:szCs w:val="24"/>
              </w:rPr>
            </w:pPr>
            <w:r w:rsidRPr="0041676F">
              <w:rPr>
                <w:sz w:val="24"/>
                <w:szCs w:val="24"/>
              </w:rPr>
              <w:t>(Statewide)</w:t>
            </w:r>
          </w:p>
        </w:tc>
        <w:tc>
          <w:tcPr>
            <w:tcW w:w="1350" w:type="dxa"/>
            <w:shd w:val="clear" w:color="auto" w:fill="BFBFBF" w:themeFill="background1" w:themeFillShade="BF"/>
          </w:tcPr>
          <w:p w14:paraId="6BC0D864" w14:textId="6505A3F7" w:rsidR="00785D1E" w:rsidRPr="0041676F" w:rsidRDefault="00785D1E" w:rsidP="00AF620B">
            <w:pPr>
              <w:pStyle w:val="BodyText2"/>
              <w:rPr>
                <w:b/>
                <w:sz w:val="24"/>
                <w:szCs w:val="24"/>
              </w:rPr>
            </w:pPr>
            <w:r w:rsidRPr="0041676F">
              <w:rPr>
                <w:b/>
                <w:sz w:val="24"/>
                <w:szCs w:val="24"/>
              </w:rPr>
              <w:t>Year 7</w:t>
            </w:r>
          </w:p>
          <w:p w14:paraId="1510F384" w14:textId="11815620" w:rsidR="00785D1E" w:rsidRPr="0041676F" w:rsidRDefault="00785D1E" w:rsidP="00AF620B">
            <w:pPr>
              <w:pStyle w:val="BodyText2"/>
              <w:rPr>
                <w:sz w:val="24"/>
                <w:szCs w:val="24"/>
                <w:vertAlign w:val="superscript"/>
              </w:rPr>
            </w:pPr>
            <w:r w:rsidRPr="0041676F">
              <w:rPr>
                <w:sz w:val="24"/>
                <w:szCs w:val="24"/>
              </w:rPr>
              <w:t>(Statewide)</w:t>
            </w:r>
            <w:r w:rsidR="001B5AD8" w:rsidRPr="0041676F">
              <w:rPr>
                <w:sz w:val="24"/>
                <w:szCs w:val="24"/>
                <w:vertAlign w:val="superscript"/>
              </w:rPr>
              <w:t>2</w:t>
            </w:r>
          </w:p>
        </w:tc>
        <w:tc>
          <w:tcPr>
            <w:tcW w:w="1350" w:type="dxa"/>
            <w:shd w:val="clear" w:color="auto" w:fill="BFBFBF" w:themeFill="background1" w:themeFillShade="BF"/>
          </w:tcPr>
          <w:p w14:paraId="441C3A23" w14:textId="0CE74E27" w:rsidR="00785D1E" w:rsidRPr="0041676F" w:rsidRDefault="00785D1E" w:rsidP="00AF620B">
            <w:pPr>
              <w:pStyle w:val="BodyText2"/>
              <w:rPr>
                <w:b/>
                <w:sz w:val="24"/>
                <w:szCs w:val="24"/>
              </w:rPr>
            </w:pPr>
            <w:r w:rsidRPr="0041676F">
              <w:rPr>
                <w:b/>
                <w:sz w:val="24"/>
                <w:szCs w:val="24"/>
              </w:rPr>
              <w:t>Year</w:t>
            </w:r>
            <w:r w:rsidR="00BA714F">
              <w:rPr>
                <w:b/>
                <w:sz w:val="24"/>
                <w:szCs w:val="24"/>
              </w:rPr>
              <w:t>s</w:t>
            </w:r>
            <w:r w:rsidRPr="0041676F">
              <w:rPr>
                <w:b/>
                <w:sz w:val="24"/>
                <w:szCs w:val="24"/>
              </w:rPr>
              <w:t xml:space="preserve"> 8</w:t>
            </w:r>
            <w:r w:rsidR="00624044">
              <w:rPr>
                <w:b/>
                <w:sz w:val="24"/>
                <w:szCs w:val="24"/>
              </w:rPr>
              <w:t xml:space="preserve"> and 9</w:t>
            </w:r>
          </w:p>
          <w:p w14:paraId="29961415" w14:textId="77777777" w:rsidR="00640313" w:rsidRDefault="00785D1E" w:rsidP="00AF620B">
            <w:pPr>
              <w:pStyle w:val="BodyText2"/>
              <w:rPr>
                <w:sz w:val="24"/>
                <w:szCs w:val="24"/>
              </w:rPr>
            </w:pPr>
            <w:r w:rsidRPr="0041676F">
              <w:rPr>
                <w:sz w:val="24"/>
                <w:szCs w:val="24"/>
              </w:rPr>
              <w:t>(Statewide)</w:t>
            </w:r>
          </w:p>
          <w:p w14:paraId="0ABA643C" w14:textId="353ABDF4" w:rsidR="00785D1E" w:rsidRPr="0041676F" w:rsidRDefault="00997972" w:rsidP="00AF620B">
            <w:pPr>
              <w:pStyle w:val="BodyText2"/>
              <w:rPr>
                <w:sz w:val="24"/>
                <w:szCs w:val="24"/>
              </w:rPr>
            </w:pPr>
            <w:r w:rsidRPr="0041676F">
              <w:rPr>
                <w:sz w:val="24"/>
                <w:szCs w:val="24"/>
                <w:vertAlign w:val="superscript"/>
              </w:rPr>
              <w:t>2</w:t>
            </w:r>
          </w:p>
        </w:tc>
        <w:tc>
          <w:tcPr>
            <w:tcW w:w="1350" w:type="dxa"/>
            <w:shd w:val="clear" w:color="auto" w:fill="BFBFBF" w:themeFill="background1" w:themeFillShade="BF"/>
          </w:tcPr>
          <w:p w14:paraId="1DD817FF" w14:textId="761FCA55" w:rsidR="00785D1E" w:rsidRPr="0041676F" w:rsidRDefault="00785D1E" w:rsidP="00785D1E">
            <w:pPr>
              <w:pStyle w:val="BodyText2"/>
              <w:rPr>
                <w:b/>
                <w:sz w:val="24"/>
                <w:szCs w:val="24"/>
              </w:rPr>
            </w:pPr>
            <w:r w:rsidRPr="0041676F">
              <w:rPr>
                <w:b/>
                <w:sz w:val="24"/>
                <w:szCs w:val="24"/>
              </w:rPr>
              <w:t>Year</w:t>
            </w:r>
            <w:r w:rsidR="00997972">
              <w:rPr>
                <w:b/>
                <w:sz w:val="24"/>
                <w:szCs w:val="24"/>
              </w:rPr>
              <w:t>s</w:t>
            </w:r>
            <w:r w:rsidRPr="0041676F">
              <w:rPr>
                <w:b/>
                <w:sz w:val="24"/>
                <w:szCs w:val="24"/>
              </w:rPr>
              <w:t xml:space="preserve"> </w:t>
            </w:r>
            <w:r w:rsidR="00624044">
              <w:rPr>
                <w:b/>
                <w:sz w:val="24"/>
                <w:szCs w:val="24"/>
              </w:rPr>
              <w:t>10 and 11</w:t>
            </w:r>
          </w:p>
          <w:p w14:paraId="1365FDBD" w14:textId="6CD20734" w:rsidR="00785D1E" w:rsidRPr="0041676F" w:rsidRDefault="00785D1E" w:rsidP="00785D1E">
            <w:pPr>
              <w:pStyle w:val="BodyText2"/>
              <w:rPr>
                <w:b/>
                <w:sz w:val="24"/>
                <w:szCs w:val="24"/>
              </w:rPr>
            </w:pPr>
            <w:r w:rsidRPr="0041676F">
              <w:rPr>
                <w:sz w:val="24"/>
                <w:szCs w:val="24"/>
              </w:rPr>
              <w:t>(Statewide)</w:t>
            </w:r>
          </w:p>
        </w:tc>
      </w:tr>
      <w:tr w:rsidR="00785D1E" w:rsidRPr="0041676F" w14:paraId="749D6674" w14:textId="4AC3EBC4" w:rsidTr="00640313">
        <w:trPr>
          <w:trHeight w:val="287"/>
        </w:trPr>
        <w:tc>
          <w:tcPr>
            <w:tcW w:w="3960" w:type="dxa"/>
            <w:gridSpan w:val="3"/>
            <w:tcBorders>
              <w:right w:val="nil"/>
            </w:tcBorders>
            <w:shd w:val="clear" w:color="auto" w:fill="F2F2F2" w:themeFill="background1" w:themeFillShade="F2"/>
          </w:tcPr>
          <w:p w14:paraId="4C2217D5" w14:textId="3743D9F7" w:rsidR="00785D1E" w:rsidRPr="0041676F" w:rsidRDefault="00785D1E" w:rsidP="00AF620B">
            <w:pPr>
              <w:pStyle w:val="BodyText2"/>
              <w:rPr>
                <w:sz w:val="24"/>
                <w:szCs w:val="24"/>
              </w:rPr>
            </w:pPr>
            <w:r w:rsidRPr="0041676F">
              <w:rPr>
                <w:b/>
                <w:sz w:val="24"/>
              </w:rPr>
              <w:t>Model Core Measures</w:t>
            </w:r>
          </w:p>
        </w:tc>
        <w:tc>
          <w:tcPr>
            <w:tcW w:w="1350" w:type="dxa"/>
            <w:tcBorders>
              <w:left w:val="nil"/>
              <w:right w:val="nil"/>
            </w:tcBorders>
            <w:shd w:val="clear" w:color="auto" w:fill="F2F2F2" w:themeFill="background1" w:themeFillShade="F2"/>
          </w:tcPr>
          <w:p w14:paraId="52F91CB2" w14:textId="77777777" w:rsidR="00785D1E" w:rsidRPr="0041676F" w:rsidRDefault="00785D1E" w:rsidP="00AF620B">
            <w:pPr>
              <w:pStyle w:val="BodyText2"/>
              <w:rPr>
                <w:sz w:val="24"/>
                <w:szCs w:val="24"/>
              </w:rPr>
            </w:pPr>
          </w:p>
        </w:tc>
        <w:tc>
          <w:tcPr>
            <w:tcW w:w="1350" w:type="dxa"/>
            <w:tcBorders>
              <w:left w:val="nil"/>
              <w:right w:val="nil"/>
            </w:tcBorders>
            <w:shd w:val="clear" w:color="auto" w:fill="F2F2F2" w:themeFill="background1" w:themeFillShade="F2"/>
          </w:tcPr>
          <w:p w14:paraId="39CEBC18" w14:textId="77777777" w:rsidR="00785D1E" w:rsidRPr="0041676F" w:rsidRDefault="00785D1E" w:rsidP="00AF620B">
            <w:pPr>
              <w:pStyle w:val="BodyText2"/>
              <w:rPr>
                <w:sz w:val="24"/>
                <w:szCs w:val="24"/>
              </w:rPr>
            </w:pPr>
          </w:p>
        </w:tc>
        <w:tc>
          <w:tcPr>
            <w:tcW w:w="1350" w:type="dxa"/>
            <w:tcBorders>
              <w:left w:val="nil"/>
              <w:right w:val="nil"/>
            </w:tcBorders>
            <w:shd w:val="clear" w:color="auto" w:fill="F2F2F2" w:themeFill="background1" w:themeFillShade="F2"/>
          </w:tcPr>
          <w:p w14:paraId="4B12BFFB" w14:textId="77777777" w:rsidR="00785D1E" w:rsidRPr="0041676F" w:rsidRDefault="00785D1E" w:rsidP="00AF620B">
            <w:pPr>
              <w:pStyle w:val="BodyText2"/>
              <w:rPr>
                <w:sz w:val="24"/>
                <w:szCs w:val="24"/>
              </w:rPr>
            </w:pPr>
          </w:p>
        </w:tc>
        <w:tc>
          <w:tcPr>
            <w:tcW w:w="1350" w:type="dxa"/>
            <w:tcBorders>
              <w:left w:val="nil"/>
              <w:right w:val="nil"/>
            </w:tcBorders>
            <w:shd w:val="clear" w:color="auto" w:fill="F2F2F2" w:themeFill="background1" w:themeFillShade="F2"/>
          </w:tcPr>
          <w:p w14:paraId="295BE32A" w14:textId="77777777" w:rsidR="00785D1E" w:rsidRPr="0041676F" w:rsidRDefault="00785D1E" w:rsidP="00AF620B">
            <w:pPr>
              <w:pStyle w:val="BodyText2"/>
              <w:rPr>
                <w:sz w:val="24"/>
                <w:szCs w:val="24"/>
              </w:rPr>
            </w:pPr>
          </w:p>
        </w:tc>
        <w:tc>
          <w:tcPr>
            <w:tcW w:w="1350" w:type="dxa"/>
            <w:tcBorders>
              <w:left w:val="nil"/>
              <w:right w:val="nil"/>
            </w:tcBorders>
            <w:shd w:val="clear" w:color="auto" w:fill="F2F2F2" w:themeFill="background1" w:themeFillShade="F2"/>
          </w:tcPr>
          <w:p w14:paraId="45269A13" w14:textId="77777777" w:rsidR="00785D1E" w:rsidRPr="0041676F" w:rsidRDefault="00785D1E" w:rsidP="00AF620B">
            <w:pPr>
              <w:pStyle w:val="BodyText2"/>
              <w:rPr>
                <w:sz w:val="24"/>
                <w:szCs w:val="24"/>
              </w:rPr>
            </w:pPr>
          </w:p>
        </w:tc>
        <w:tc>
          <w:tcPr>
            <w:tcW w:w="1350" w:type="dxa"/>
            <w:tcBorders>
              <w:left w:val="nil"/>
            </w:tcBorders>
            <w:shd w:val="clear" w:color="auto" w:fill="F2F2F2" w:themeFill="background1" w:themeFillShade="F2"/>
          </w:tcPr>
          <w:p w14:paraId="74F1A03E" w14:textId="77777777" w:rsidR="00785D1E" w:rsidRPr="0041676F" w:rsidRDefault="00785D1E" w:rsidP="00AF620B">
            <w:pPr>
              <w:pStyle w:val="BodyText2"/>
              <w:rPr>
                <w:sz w:val="24"/>
                <w:szCs w:val="24"/>
              </w:rPr>
            </w:pPr>
          </w:p>
        </w:tc>
        <w:tc>
          <w:tcPr>
            <w:tcW w:w="1350" w:type="dxa"/>
            <w:tcBorders>
              <w:left w:val="nil"/>
            </w:tcBorders>
            <w:shd w:val="clear" w:color="auto" w:fill="F2F2F2" w:themeFill="background1" w:themeFillShade="F2"/>
          </w:tcPr>
          <w:p w14:paraId="5178FCED" w14:textId="77777777" w:rsidR="00785D1E" w:rsidRPr="0041676F" w:rsidRDefault="00785D1E" w:rsidP="00AF620B">
            <w:pPr>
              <w:pStyle w:val="BodyText2"/>
              <w:rPr>
                <w:sz w:val="24"/>
                <w:szCs w:val="24"/>
              </w:rPr>
            </w:pPr>
          </w:p>
        </w:tc>
        <w:tc>
          <w:tcPr>
            <w:tcW w:w="1350" w:type="dxa"/>
            <w:tcBorders>
              <w:left w:val="nil"/>
            </w:tcBorders>
            <w:shd w:val="clear" w:color="auto" w:fill="F2F2F2" w:themeFill="background1" w:themeFillShade="F2"/>
          </w:tcPr>
          <w:p w14:paraId="59388935" w14:textId="77777777" w:rsidR="00785D1E" w:rsidRPr="0041676F" w:rsidRDefault="00785D1E" w:rsidP="00AF620B">
            <w:pPr>
              <w:pStyle w:val="BodyText2"/>
              <w:rPr>
                <w:sz w:val="24"/>
                <w:szCs w:val="24"/>
              </w:rPr>
            </w:pPr>
          </w:p>
        </w:tc>
      </w:tr>
      <w:tr w:rsidR="0049132A" w:rsidRPr="0041676F" w14:paraId="2EA28C48" w14:textId="68F48946" w:rsidTr="00640313">
        <w:trPr>
          <w:trHeight w:val="890"/>
        </w:trPr>
        <w:tc>
          <w:tcPr>
            <w:tcW w:w="1170" w:type="dxa"/>
          </w:tcPr>
          <w:p w14:paraId="22F8C69A" w14:textId="1E0547CB" w:rsidR="0049132A" w:rsidRPr="0041676F" w:rsidRDefault="0049132A" w:rsidP="0049132A">
            <w:pPr>
              <w:pStyle w:val="BodyText2"/>
              <w:rPr>
                <w:sz w:val="24"/>
                <w:szCs w:val="24"/>
              </w:rPr>
            </w:pPr>
            <w:r w:rsidRPr="0041676F">
              <w:rPr>
                <w:sz w:val="24"/>
                <w:szCs w:val="24"/>
              </w:rPr>
              <w:t>A.1</w:t>
            </w:r>
          </w:p>
        </w:tc>
        <w:tc>
          <w:tcPr>
            <w:tcW w:w="1530" w:type="dxa"/>
          </w:tcPr>
          <w:p w14:paraId="27FE13EC" w14:textId="77777777" w:rsidR="0049132A" w:rsidRPr="0041676F" w:rsidRDefault="0049132A" w:rsidP="0049132A">
            <w:r w:rsidRPr="0041676F">
              <w:t>All Cause Hospital Readmission</w:t>
            </w:r>
          </w:p>
          <w:p w14:paraId="3CE7BA5E" w14:textId="5991B7C7" w:rsidR="0049132A" w:rsidRPr="0041676F" w:rsidRDefault="0049132A" w:rsidP="0049132A">
            <w:r w:rsidRPr="0041676F">
              <w:rPr>
                <w:i/>
              </w:rPr>
              <w:t>(Plan All Cause Readmission #1768)</w:t>
            </w:r>
          </w:p>
        </w:tc>
        <w:tc>
          <w:tcPr>
            <w:tcW w:w="1260" w:type="dxa"/>
          </w:tcPr>
          <w:p w14:paraId="20E5795F" w14:textId="7D7F805A" w:rsidR="0049132A" w:rsidRPr="0041676F" w:rsidRDefault="0049132A" w:rsidP="0049132A">
            <w:pPr>
              <w:pStyle w:val="BodyText2"/>
              <w:rPr>
                <w:sz w:val="24"/>
                <w:szCs w:val="24"/>
              </w:rPr>
            </w:pPr>
            <w:r w:rsidRPr="0041676F">
              <w:rPr>
                <w:sz w:val="24"/>
                <w:szCs w:val="24"/>
              </w:rPr>
              <w:t>Reporting</w:t>
            </w:r>
          </w:p>
        </w:tc>
        <w:tc>
          <w:tcPr>
            <w:tcW w:w="1350" w:type="dxa"/>
          </w:tcPr>
          <w:p w14:paraId="1E6E0775" w14:textId="1F6BE6CC" w:rsidR="0049132A" w:rsidRPr="0041676F" w:rsidRDefault="0049132A" w:rsidP="0049132A">
            <w:pPr>
              <w:pStyle w:val="BodyText2"/>
              <w:rPr>
                <w:sz w:val="24"/>
                <w:szCs w:val="24"/>
              </w:rPr>
            </w:pPr>
            <w:r w:rsidRPr="0041676F">
              <w:rPr>
                <w:sz w:val="24"/>
                <w:szCs w:val="24"/>
              </w:rPr>
              <w:t>Benchmark</w:t>
            </w:r>
          </w:p>
        </w:tc>
        <w:tc>
          <w:tcPr>
            <w:tcW w:w="1350" w:type="dxa"/>
          </w:tcPr>
          <w:p w14:paraId="7E20D417" w14:textId="0981DB62" w:rsidR="0049132A" w:rsidRPr="0041676F" w:rsidRDefault="0049132A" w:rsidP="0049132A">
            <w:pPr>
              <w:pStyle w:val="BodyText2"/>
              <w:rPr>
                <w:sz w:val="24"/>
                <w:szCs w:val="24"/>
              </w:rPr>
            </w:pPr>
            <w:r w:rsidRPr="0041676F">
              <w:rPr>
                <w:sz w:val="24"/>
                <w:szCs w:val="24"/>
              </w:rPr>
              <w:t>Benchmark</w:t>
            </w:r>
          </w:p>
        </w:tc>
        <w:tc>
          <w:tcPr>
            <w:tcW w:w="1350" w:type="dxa"/>
          </w:tcPr>
          <w:p w14:paraId="4C756639" w14:textId="55C9E5B7" w:rsidR="0049132A" w:rsidRPr="0041676F" w:rsidRDefault="0049132A" w:rsidP="0049132A">
            <w:pPr>
              <w:pStyle w:val="BodyText2"/>
              <w:rPr>
                <w:sz w:val="24"/>
                <w:szCs w:val="24"/>
              </w:rPr>
            </w:pPr>
            <w:r w:rsidRPr="0041676F">
              <w:rPr>
                <w:sz w:val="24"/>
                <w:szCs w:val="24"/>
              </w:rPr>
              <w:t>Benchmark</w:t>
            </w:r>
          </w:p>
        </w:tc>
        <w:tc>
          <w:tcPr>
            <w:tcW w:w="1350" w:type="dxa"/>
          </w:tcPr>
          <w:p w14:paraId="4EDF79E3" w14:textId="3D7E7047" w:rsidR="0049132A" w:rsidRPr="0041676F" w:rsidRDefault="0049132A" w:rsidP="0049132A">
            <w:pPr>
              <w:pStyle w:val="BodyText2"/>
              <w:rPr>
                <w:sz w:val="24"/>
                <w:szCs w:val="24"/>
              </w:rPr>
            </w:pPr>
            <w:r w:rsidRPr="0041676F">
              <w:rPr>
                <w:sz w:val="24"/>
                <w:szCs w:val="24"/>
              </w:rPr>
              <w:t>Benchmark</w:t>
            </w:r>
          </w:p>
        </w:tc>
        <w:tc>
          <w:tcPr>
            <w:tcW w:w="1350" w:type="dxa"/>
          </w:tcPr>
          <w:p w14:paraId="6E53E9DB" w14:textId="36A6229E" w:rsidR="0049132A" w:rsidRPr="0041676F" w:rsidRDefault="0049132A" w:rsidP="0049132A">
            <w:pPr>
              <w:pStyle w:val="BodyText2"/>
              <w:rPr>
                <w:sz w:val="24"/>
                <w:szCs w:val="24"/>
              </w:rPr>
            </w:pPr>
            <w:r w:rsidRPr="0041676F">
              <w:rPr>
                <w:sz w:val="24"/>
                <w:szCs w:val="24"/>
              </w:rPr>
              <w:t>Benchmark</w:t>
            </w:r>
          </w:p>
        </w:tc>
        <w:tc>
          <w:tcPr>
            <w:tcW w:w="1350" w:type="dxa"/>
          </w:tcPr>
          <w:p w14:paraId="243F6215" w14:textId="6C856C65"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76473D1E" w14:textId="0EC2FFC5" w:rsidR="00997972" w:rsidRPr="0041676F" w:rsidRDefault="00997972" w:rsidP="0049132A">
            <w:pPr>
              <w:pStyle w:val="BodyText2"/>
              <w:rPr>
                <w:sz w:val="24"/>
                <w:szCs w:val="24"/>
              </w:rPr>
            </w:pPr>
            <w:r w:rsidRPr="0041676F">
              <w:rPr>
                <w:sz w:val="24"/>
                <w:szCs w:val="24"/>
              </w:rPr>
              <w:t>Reporting (PHE)</w:t>
            </w:r>
          </w:p>
        </w:tc>
        <w:tc>
          <w:tcPr>
            <w:tcW w:w="1350" w:type="dxa"/>
          </w:tcPr>
          <w:p w14:paraId="0843262A" w14:textId="506B3D2E" w:rsidR="0049132A" w:rsidRPr="0041676F" w:rsidRDefault="0049132A" w:rsidP="0049132A">
            <w:pPr>
              <w:pStyle w:val="BodyText2"/>
              <w:rPr>
                <w:sz w:val="24"/>
                <w:szCs w:val="24"/>
              </w:rPr>
            </w:pPr>
            <w:r w:rsidRPr="0041676F">
              <w:rPr>
                <w:sz w:val="24"/>
                <w:szCs w:val="24"/>
              </w:rPr>
              <w:t>Benchmark</w:t>
            </w:r>
          </w:p>
        </w:tc>
      </w:tr>
      <w:tr w:rsidR="0049132A" w:rsidRPr="0041676F" w14:paraId="4C40442D" w14:textId="131BC3AC" w:rsidTr="00640313">
        <w:tc>
          <w:tcPr>
            <w:tcW w:w="1170" w:type="dxa"/>
          </w:tcPr>
          <w:p w14:paraId="2CEC7907" w14:textId="594F1C79" w:rsidR="0049132A" w:rsidRPr="0041676F" w:rsidRDefault="0049132A" w:rsidP="0049132A">
            <w:pPr>
              <w:pStyle w:val="BodyText2"/>
              <w:rPr>
                <w:sz w:val="24"/>
                <w:szCs w:val="24"/>
              </w:rPr>
            </w:pPr>
            <w:r w:rsidRPr="0041676F">
              <w:rPr>
                <w:sz w:val="24"/>
                <w:szCs w:val="24"/>
              </w:rPr>
              <w:t>A.2</w:t>
            </w:r>
          </w:p>
        </w:tc>
        <w:tc>
          <w:tcPr>
            <w:tcW w:w="1530" w:type="dxa"/>
          </w:tcPr>
          <w:p w14:paraId="565BDCF5" w14:textId="77777777" w:rsidR="0049132A" w:rsidRPr="0041676F" w:rsidRDefault="0049132A" w:rsidP="0049132A">
            <w:r w:rsidRPr="0041676F">
              <w:t>Ambulatory Care-Sensitive Condition Hospital Admission</w:t>
            </w:r>
          </w:p>
          <w:p w14:paraId="06EBD757" w14:textId="464440AF" w:rsidR="0049132A" w:rsidRPr="0041676F" w:rsidRDefault="0049132A" w:rsidP="0049132A">
            <w:pPr>
              <w:pStyle w:val="BodyText2"/>
              <w:rPr>
                <w:sz w:val="24"/>
                <w:szCs w:val="24"/>
              </w:rPr>
            </w:pPr>
            <w:r w:rsidRPr="0041676F">
              <w:rPr>
                <w:i/>
                <w:sz w:val="24"/>
                <w:szCs w:val="24"/>
              </w:rPr>
              <w:t>(PQI Composite #90)</w:t>
            </w:r>
          </w:p>
        </w:tc>
        <w:tc>
          <w:tcPr>
            <w:tcW w:w="1260" w:type="dxa"/>
          </w:tcPr>
          <w:p w14:paraId="20B0D742" w14:textId="76E4AED3" w:rsidR="0049132A" w:rsidRPr="0041676F" w:rsidRDefault="0049132A" w:rsidP="0049132A">
            <w:pPr>
              <w:pStyle w:val="BodyText2"/>
              <w:rPr>
                <w:sz w:val="24"/>
                <w:szCs w:val="24"/>
              </w:rPr>
            </w:pPr>
            <w:r w:rsidRPr="0041676F">
              <w:rPr>
                <w:sz w:val="24"/>
                <w:szCs w:val="24"/>
              </w:rPr>
              <w:t>Reporting</w:t>
            </w:r>
          </w:p>
        </w:tc>
        <w:tc>
          <w:tcPr>
            <w:tcW w:w="1350" w:type="dxa"/>
          </w:tcPr>
          <w:p w14:paraId="3B3ED0B9" w14:textId="3E13DD3F" w:rsidR="0049132A" w:rsidRPr="0041676F" w:rsidRDefault="0049132A" w:rsidP="0049132A">
            <w:pPr>
              <w:pStyle w:val="BodyText2"/>
              <w:rPr>
                <w:sz w:val="24"/>
                <w:szCs w:val="24"/>
              </w:rPr>
            </w:pPr>
            <w:r w:rsidRPr="0041676F">
              <w:rPr>
                <w:sz w:val="24"/>
                <w:szCs w:val="24"/>
              </w:rPr>
              <w:t>Benchmark</w:t>
            </w:r>
          </w:p>
        </w:tc>
        <w:tc>
          <w:tcPr>
            <w:tcW w:w="1350" w:type="dxa"/>
          </w:tcPr>
          <w:p w14:paraId="73DA2990" w14:textId="1B1B98D3" w:rsidR="0049132A" w:rsidRPr="0041676F" w:rsidRDefault="0049132A" w:rsidP="0049132A">
            <w:pPr>
              <w:pStyle w:val="BodyText2"/>
              <w:rPr>
                <w:sz w:val="24"/>
                <w:szCs w:val="24"/>
              </w:rPr>
            </w:pPr>
            <w:r w:rsidRPr="0041676F">
              <w:rPr>
                <w:sz w:val="24"/>
                <w:szCs w:val="24"/>
              </w:rPr>
              <w:t>Benchmark</w:t>
            </w:r>
          </w:p>
        </w:tc>
        <w:tc>
          <w:tcPr>
            <w:tcW w:w="1350" w:type="dxa"/>
          </w:tcPr>
          <w:p w14:paraId="137969C8" w14:textId="0CC28F74" w:rsidR="0049132A" w:rsidRPr="0041676F" w:rsidRDefault="0049132A" w:rsidP="0049132A">
            <w:pPr>
              <w:pStyle w:val="BodyText2"/>
              <w:rPr>
                <w:sz w:val="24"/>
                <w:szCs w:val="24"/>
              </w:rPr>
            </w:pPr>
            <w:r w:rsidRPr="0041676F">
              <w:rPr>
                <w:sz w:val="24"/>
                <w:szCs w:val="24"/>
              </w:rPr>
              <w:t>Benchmark</w:t>
            </w:r>
          </w:p>
        </w:tc>
        <w:tc>
          <w:tcPr>
            <w:tcW w:w="1350" w:type="dxa"/>
          </w:tcPr>
          <w:p w14:paraId="33DBE9DC" w14:textId="1F05FC7B" w:rsidR="0049132A" w:rsidRPr="0041676F" w:rsidRDefault="0049132A" w:rsidP="0049132A">
            <w:pPr>
              <w:pStyle w:val="BodyText2"/>
              <w:rPr>
                <w:sz w:val="24"/>
                <w:szCs w:val="24"/>
              </w:rPr>
            </w:pPr>
            <w:r w:rsidRPr="0041676F">
              <w:rPr>
                <w:sz w:val="24"/>
                <w:szCs w:val="24"/>
              </w:rPr>
              <w:t>Benchmark</w:t>
            </w:r>
          </w:p>
        </w:tc>
        <w:tc>
          <w:tcPr>
            <w:tcW w:w="1350" w:type="dxa"/>
          </w:tcPr>
          <w:p w14:paraId="16A76C59" w14:textId="43B3BC05" w:rsidR="0049132A" w:rsidRPr="0041676F" w:rsidRDefault="0049132A" w:rsidP="0049132A">
            <w:pPr>
              <w:pStyle w:val="BodyText2"/>
              <w:rPr>
                <w:sz w:val="24"/>
                <w:szCs w:val="24"/>
              </w:rPr>
            </w:pPr>
            <w:r w:rsidRPr="0041676F">
              <w:rPr>
                <w:sz w:val="24"/>
                <w:szCs w:val="24"/>
              </w:rPr>
              <w:t>Benchmark</w:t>
            </w:r>
          </w:p>
        </w:tc>
        <w:tc>
          <w:tcPr>
            <w:tcW w:w="1350" w:type="dxa"/>
          </w:tcPr>
          <w:p w14:paraId="47AC497A" w14:textId="77777777" w:rsidR="001B5AD8" w:rsidRPr="0041676F" w:rsidRDefault="0049132A" w:rsidP="0049132A">
            <w:pPr>
              <w:pStyle w:val="BodyText2"/>
              <w:rPr>
                <w:sz w:val="24"/>
                <w:szCs w:val="24"/>
              </w:rPr>
            </w:pPr>
            <w:r w:rsidRPr="0041676F">
              <w:rPr>
                <w:sz w:val="24"/>
                <w:szCs w:val="24"/>
              </w:rPr>
              <w:t>Reporting (PHE)</w:t>
            </w:r>
          </w:p>
          <w:p w14:paraId="2FF45A7D" w14:textId="272A90AA" w:rsidR="0049132A" w:rsidRPr="0041676F" w:rsidRDefault="0049132A" w:rsidP="0049132A">
            <w:pPr>
              <w:pStyle w:val="BodyText2"/>
              <w:rPr>
                <w:sz w:val="24"/>
                <w:szCs w:val="24"/>
              </w:rPr>
            </w:pPr>
          </w:p>
        </w:tc>
        <w:tc>
          <w:tcPr>
            <w:tcW w:w="1350" w:type="dxa"/>
          </w:tcPr>
          <w:p w14:paraId="004F5571" w14:textId="262BF32E" w:rsidR="0049132A" w:rsidRPr="0041676F" w:rsidRDefault="00997972" w:rsidP="0049132A">
            <w:pPr>
              <w:pStyle w:val="BodyText2"/>
              <w:rPr>
                <w:sz w:val="24"/>
                <w:szCs w:val="24"/>
              </w:rPr>
            </w:pPr>
            <w:r w:rsidRPr="0041676F">
              <w:rPr>
                <w:sz w:val="24"/>
                <w:szCs w:val="24"/>
              </w:rPr>
              <w:t>Reporting (PHE)</w:t>
            </w:r>
          </w:p>
        </w:tc>
        <w:tc>
          <w:tcPr>
            <w:tcW w:w="1350" w:type="dxa"/>
          </w:tcPr>
          <w:p w14:paraId="2B2E499E" w14:textId="3D16E381" w:rsidR="0049132A" w:rsidRPr="0041676F" w:rsidRDefault="0049132A" w:rsidP="0049132A">
            <w:pPr>
              <w:pStyle w:val="BodyText2"/>
              <w:rPr>
                <w:sz w:val="24"/>
                <w:szCs w:val="24"/>
              </w:rPr>
            </w:pPr>
            <w:r w:rsidRPr="0041676F">
              <w:rPr>
                <w:sz w:val="24"/>
                <w:szCs w:val="24"/>
              </w:rPr>
              <w:t>Benchmark</w:t>
            </w:r>
          </w:p>
        </w:tc>
      </w:tr>
      <w:tr w:rsidR="0049132A" w:rsidRPr="0041676F" w14:paraId="6D6902D5" w14:textId="29CB0BB7" w:rsidTr="00640313">
        <w:tc>
          <w:tcPr>
            <w:tcW w:w="1170" w:type="dxa"/>
          </w:tcPr>
          <w:p w14:paraId="58845939" w14:textId="531CC508" w:rsidR="0049132A" w:rsidRPr="0041676F" w:rsidRDefault="0049132A" w:rsidP="0049132A">
            <w:pPr>
              <w:pStyle w:val="BodyText2"/>
              <w:rPr>
                <w:sz w:val="24"/>
                <w:szCs w:val="24"/>
              </w:rPr>
            </w:pPr>
            <w:r w:rsidRPr="0041676F">
              <w:rPr>
                <w:sz w:val="24"/>
                <w:szCs w:val="24"/>
              </w:rPr>
              <w:t>A.3</w:t>
            </w:r>
          </w:p>
        </w:tc>
        <w:tc>
          <w:tcPr>
            <w:tcW w:w="1530" w:type="dxa"/>
          </w:tcPr>
          <w:p w14:paraId="0EA39A42" w14:textId="77777777" w:rsidR="0049132A" w:rsidRPr="0041676F" w:rsidRDefault="0049132A" w:rsidP="0049132A">
            <w:r w:rsidRPr="0041676F">
              <w:t xml:space="preserve">ED Visits for Ambulatory Care-Sensitive Conditions </w:t>
            </w:r>
          </w:p>
          <w:p w14:paraId="685FC89B" w14:textId="386A1AC5" w:rsidR="0049132A" w:rsidRPr="0041676F" w:rsidRDefault="0049132A" w:rsidP="0049132A">
            <w:pPr>
              <w:pStyle w:val="BodyText2"/>
              <w:rPr>
                <w:sz w:val="24"/>
                <w:szCs w:val="24"/>
              </w:rPr>
            </w:pPr>
            <w:r w:rsidRPr="0041676F">
              <w:rPr>
                <w:i/>
                <w:sz w:val="24"/>
                <w:szCs w:val="24"/>
              </w:rPr>
              <w:t>(Rosenthal)</w:t>
            </w:r>
          </w:p>
        </w:tc>
        <w:tc>
          <w:tcPr>
            <w:tcW w:w="1260" w:type="dxa"/>
          </w:tcPr>
          <w:p w14:paraId="3D9FC78A" w14:textId="62B09FE9" w:rsidR="0049132A" w:rsidRPr="0041676F" w:rsidRDefault="0049132A" w:rsidP="0049132A">
            <w:pPr>
              <w:pStyle w:val="BodyText2"/>
              <w:rPr>
                <w:sz w:val="24"/>
                <w:szCs w:val="24"/>
              </w:rPr>
            </w:pPr>
            <w:r w:rsidRPr="0041676F">
              <w:rPr>
                <w:sz w:val="24"/>
                <w:szCs w:val="24"/>
              </w:rPr>
              <w:t>Reporting</w:t>
            </w:r>
          </w:p>
        </w:tc>
        <w:tc>
          <w:tcPr>
            <w:tcW w:w="1350" w:type="dxa"/>
          </w:tcPr>
          <w:p w14:paraId="35B6BBD2" w14:textId="2CF3A070" w:rsidR="0049132A" w:rsidRPr="0041676F" w:rsidRDefault="0049132A" w:rsidP="0049132A">
            <w:pPr>
              <w:pStyle w:val="BodyText2"/>
              <w:rPr>
                <w:sz w:val="24"/>
                <w:szCs w:val="24"/>
              </w:rPr>
            </w:pPr>
            <w:r w:rsidRPr="0041676F">
              <w:rPr>
                <w:sz w:val="24"/>
                <w:szCs w:val="24"/>
              </w:rPr>
              <w:t>Benchmark</w:t>
            </w:r>
          </w:p>
        </w:tc>
        <w:tc>
          <w:tcPr>
            <w:tcW w:w="1350" w:type="dxa"/>
          </w:tcPr>
          <w:p w14:paraId="3E503417" w14:textId="195EA6A8" w:rsidR="0049132A" w:rsidRPr="0041676F" w:rsidRDefault="0049132A" w:rsidP="0049132A">
            <w:pPr>
              <w:pStyle w:val="BodyText2"/>
              <w:rPr>
                <w:sz w:val="24"/>
                <w:szCs w:val="24"/>
              </w:rPr>
            </w:pPr>
            <w:r w:rsidRPr="0041676F">
              <w:rPr>
                <w:sz w:val="24"/>
                <w:szCs w:val="24"/>
              </w:rPr>
              <w:t>Benchmark</w:t>
            </w:r>
          </w:p>
        </w:tc>
        <w:tc>
          <w:tcPr>
            <w:tcW w:w="1350" w:type="dxa"/>
          </w:tcPr>
          <w:p w14:paraId="25EB372A" w14:textId="5F2C36D3" w:rsidR="0049132A" w:rsidRPr="0041676F" w:rsidRDefault="0049132A" w:rsidP="0049132A">
            <w:pPr>
              <w:pStyle w:val="BodyText2"/>
              <w:rPr>
                <w:sz w:val="24"/>
                <w:szCs w:val="24"/>
              </w:rPr>
            </w:pPr>
            <w:r w:rsidRPr="0041676F">
              <w:rPr>
                <w:sz w:val="24"/>
                <w:szCs w:val="24"/>
              </w:rPr>
              <w:t>Benchmark</w:t>
            </w:r>
          </w:p>
        </w:tc>
        <w:tc>
          <w:tcPr>
            <w:tcW w:w="1350" w:type="dxa"/>
          </w:tcPr>
          <w:p w14:paraId="4BB013CF" w14:textId="3E40148B" w:rsidR="0049132A" w:rsidRPr="0041676F" w:rsidRDefault="0049132A" w:rsidP="0049132A">
            <w:pPr>
              <w:pStyle w:val="BodyText2"/>
              <w:rPr>
                <w:sz w:val="24"/>
                <w:szCs w:val="24"/>
              </w:rPr>
            </w:pPr>
            <w:r w:rsidRPr="0041676F">
              <w:rPr>
                <w:sz w:val="24"/>
                <w:szCs w:val="24"/>
              </w:rPr>
              <w:t>Benchmark</w:t>
            </w:r>
          </w:p>
        </w:tc>
        <w:tc>
          <w:tcPr>
            <w:tcW w:w="1350" w:type="dxa"/>
          </w:tcPr>
          <w:p w14:paraId="3CF4C5F7" w14:textId="3B60F4CF" w:rsidR="0049132A" w:rsidRPr="0041676F" w:rsidRDefault="0049132A" w:rsidP="0049132A">
            <w:pPr>
              <w:pStyle w:val="BodyText2"/>
              <w:rPr>
                <w:sz w:val="24"/>
                <w:szCs w:val="24"/>
              </w:rPr>
            </w:pPr>
            <w:r w:rsidRPr="0041676F">
              <w:rPr>
                <w:sz w:val="24"/>
                <w:szCs w:val="24"/>
              </w:rPr>
              <w:t>Benchmark</w:t>
            </w:r>
          </w:p>
        </w:tc>
        <w:tc>
          <w:tcPr>
            <w:tcW w:w="1350" w:type="dxa"/>
          </w:tcPr>
          <w:p w14:paraId="592AC7C0" w14:textId="77777777" w:rsidR="001B5AD8" w:rsidRPr="0041676F" w:rsidRDefault="0049132A" w:rsidP="0049132A">
            <w:pPr>
              <w:pStyle w:val="BodyText2"/>
              <w:rPr>
                <w:sz w:val="24"/>
                <w:szCs w:val="24"/>
              </w:rPr>
            </w:pPr>
            <w:r w:rsidRPr="0041676F">
              <w:rPr>
                <w:sz w:val="24"/>
                <w:szCs w:val="24"/>
              </w:rPr>
              <w:t>Reporting (PHE)</w:t>
            </w:r>
          </w:p>
          <w:p w14:paraId="155B5F70" w14:textId="0057ECF7" w:rsidR="0049132A" w:rsidRPr="0041676F" w:rsidRDefault="0049132A" w:rsidP="0049132A">
            <w:pPr>
              <w:pStyle w:val="BodyText2"/>
              <w:rPr>
                <w:sz w:val="24"/>
                <w:szCs w:val="24"/>
              </w:rPr>
            </w:pPr>
          </w:p>
        </w:tc>
        <w:tc>
          <w:tcPr>
            <w:tcW w:w="1350" w:type="dxa"/>
          </w:tcPr>
          <w:p w14:paraId="13F35B21" w14:textId="7F1CF104" w:rsidR="0049132A" w:rsidRPr="0041676F" w:rsidRDefault="00997972" w:rsidP="0049132A">
            <w:pPr>
              <w:pStyle w:val="BodyText2"/>
              <w:rPr>
                <w:sz w:val="24"/>
                <w:szCs w:val="24"/>
              </w:rPr>
            </w:pPr>
            <w:r w:rsidRPr="0041676F">
              <w:rPr>
                <w:sz w:val="24"/>
                <w:szCs w:val="24"/>
              </w:rPr>
              <w:t>Reporting (PHE)</w:t>
            </w:r>
          </w:p>
        </w:tc>
        <w:tc>
          <w:tcPr>
            <w:tcW w:w="1350" w:type="dxa"/>
          </w:tcPr>
          <w:p w14:paraId="6D8D32BC" w14:textId="3222A4E1" w:rsidR="0049132A" w:rsidRPr="0041676F" w:rsidRDefault="0049132A" w:rsidP="0049132A">
            <w:pPr>
              <w:pStyle w:val="BodyText2"/>
              <w:rPr>
                <w:sz w:val="24"/>
                <w:szCs w:val="24"/>
              </w:rPr>
            </w:pPr>
            <w:r w:rsidRPr="0041676F">
              <w:rPr>
                <w:sz w:val="24"/>
                <w:szCs w:val="24"/>
              </w:rPr>
              <w:t>Benchmark</w:t>
            </w:r>
          </w:p>
        </w:tc>
      </w:tr>
      <w:tr w:rsidR="0049132A" w14:paraId="52196D16" w14:textId="5CE04C88" w:rsidTr="00640313">
        <w:tc>
          <w:tcPr>
            <w:tcW w:w="1170" w:type="dxa"/>
          </w:tcPr>
          <w:p w14:paraId="709E9997" w14:textId="11BF9B33" w:rsidR="0049132A" w:rsidRPr="0041676F" w:rsidRDefault="0049132A" w:rsidP="0049132A">
            <w:pPr>
              <w:pStyle w:val="BodyText2"/>
              <w:rPr>
                <w:sz w:val="24"/>
                <w:szCs w:val="24"/>
              </w:rPr>
            </w:pPr>
            <w:r w:rsidRPr="0041676F">
              <w:rPr>
                <w:sz w:val="24"/>
                <w:szCs w:val="24"/>
              </w:rPr>
              <w:t>A.4</w:t>
            </w:r>
          </w:p>
        </w:tc>
        <w:tc>
          <w:tcPr>
            <w:tcW w:w="1530" w:type="dxa"/>
          </w:tcPr>
          <w:p w14:paraId="2A3CEB66" w14:textId="77777777" w:rsidR="00640313" w:rsidRDefault="0049132A" w:rsidP="0049132A">
            <w:r w:rsidRPr="0041676F">
              <w:t>Follow-Up after Hospital</w:t>
            </w:r>
            <w:r w:rsidR="00640313">
              <w:t>-</w:t>
            </w:r>
          </w:p>
          <w:p w14:paraId="39B32E6A" w14:textId="6AA07F34" w:rsidR="0049132A" w:rsidRPr="0041676F" w:rsidRDefault="0049132A" w:rsidP="0049132A">
            <w:r w:rsidRPr="0041676F">
              <w:t xml:space="preserve">ization for Mental </w:t>
            </w:r>
            <w:r w:rsidRPr="0041676F">
              <w:lastRenderedPageBreak/>
              <w:t>Illness</w:t>
            </w:r>
          </w:p>
          <w:p w14:paraId="0F772B92" w14:textId="554E5044" w:rsidR="0049132A" w:rsidRPr="0041676F" w:rsidRDefault="0049132A" w:rsidP="0049132A">
            <w:pPr>
              <w:pStyle w:val="BodyText2"/>
              <w:rPr>
                <w:sz w:val="24"/>
                <w:szCs w:val="24"/>
              </w:rPr>
            </w:pPr>
            <w:r w:rsidRPr="0041676F">
              <w:rPr>
                <w:i/>
                <w:sz w:val="24"/>
                <w:szCs w:val="24"/>
              </w:rPr>
              <w:t>(NQF #0576)</w:t>
            </w:r>
          </w:p>
        </w:tc>
        <w:tc>
          <w:tcPr>
            <w:tcW w:w="1260" w:type="dxa"/>
          </w:tcPr>
          <w:p w14:paraId="69CF414D" w14:textId="3B19F6CA" w:rsidR="0049132A" w:rsidRPr="0041676F" w:rsidRDefault="0049132A" w:rsidP="0049132A">
            <w:pPr>
              <w:pStyle w:val="BodyText2"/>
              <w:rPr>
                <w:sz w:val="24"/>
                <w:szCs w:val="24"/>
              </w:rPr>
            </w:pPr>
            <w:r w:rsidRPr="0041676F">
              <w:rPr>
                <w:sz w:val="24"/>
                <w:szCs w:val="24"/>
              </w:rPr>
              <w:lastRenderedPageBreak/>
              <w:t>Reporting</w:t>
            </w:r>
          </w:p>
        </w:tc>
        <w:tc>
          <w:tcPr>
            <w:tcW w:w="1350" w:type="dxa"/>
          </w:tcPr>
          <w:p w14:paraId="4F0908D4" w14:textId="6E1D7DF8" w:rsidR="0049132A" w:rsidRPr="0041676F" w:rsidRDefault="0049132A" w:rsidP="0049132A">
            <w:pPr>
              <w:pStyle w:val="BodyText2"/>
              <w:rPr>
                <w:sz w:val="24"/>
                <w:szCs w:val="24"/>
              </w:rPr>
            </w:pPr>
            <w:r w:rsidRPr="0041676F">
              <w:rPr>
                <w:sz w:val="24"/>
                <w:szCs w:val="24"/>
              </w:rPr>
              <w:t>Benchmark</w:t>
            </w:r>
          </w:p>
        </w:tc>
        <w:tc>
          <w:tcPr>
            <w:tcW w:w="1350" w:type="dxa"/>
          </w:tcPr>
          <w:p w14:paraId="28A48F66" w14:textId="7C768415" w:rsidR="0049132A" w:rsidRPr="0041676F" w:rsidRDefault="0049132A" w:rsidP="0049132A">
            <w:pPr>
              <w:pStyle w:val="BodyText2"/>
              <w:rPr>
                <w:sz w:val="24"/>
                <w:szCs w:val="24"/>
              </w:rPr>
            </w:pPr>
            <w:r w:rsidRPr="0041676F">
              <w:rPr>
                <w:sz w:val="24"/>
                <w:szCs w:val="24"/>
              </w:rPr>
              <w:t>Benchmark</w:t>
            </w:r>
          </w:p>
        </w:tc>
        <w:tc>
          <w:tcPr>
            <w:tcW w:w="1350" w:type="dxa"/>
          </w:tcPr>
          <w:p w14:paraId="4C1E027D" w14:textId="69B61688" w:rsidR="0049132A" w:rsidRPr="0041676F" w:rsidRDefault="0049132A" w:rsidP="0049132A">
            <w:pPr>
              <w:pStyle w:val="BodyText2"/>
              <w:rPr>
                <w:sz w:val="24"/>
                <w:szCs w:val="24"/>
              </w:rPr>
            </w:pPr>
            <w:r w:rsidRPr="0041676F">
              <w:rPr>
                <w:sz w:val="24"/>
                <w:szCs w:val="24"/>
              </w:rPr>
              <w:t>Benchmark</w:t>
            </w:r>
          </w:p>
        </w:tc>
        <w:tc>
          <w:tcPr>
            <w:tcW w:w="1350" w:type="dxa"/>
          </w:tcPr>
          <w:p w14:paraId="3652455C" w14:textId="4EA1C5BB" w:rsidR="0049132A" w:rsidRPr="0041676F" w:rsidRDefault="0049132A" w:rsidP="0049132A">
            <w:pPr>
              <w:pStyle w:val="BodyText2"/>
              <w:rPr>
                <w:sz w:val="24"/>
                <w:szCs w:val="24"/>
              </w:rPr>
            </w:pPr>
            <w:r w:rsidRPr="0041676F">
              <w:rPr>
                <w:sz w:val="24"/>
                <w:szCs w:val="24"/>
              </w:rPr>
              <w:t>Benchmark</w:t>
            </w:r>
          </w:p>
        </w:tc>
        <w:tc>
          <w:tcPr>
            <w:tcW w:w="1350" w:type="dxa"/>
          </w:tcPr>
          <w:p w14:paraId="0D3BACFF" w14:textId="2F2B6490" w:rsidR="0049132A" w:rsidRPr="0041676F" w:rsidRDefault="0049132A" w:rsidP="0049132A">
            <w:pPr>
              <w:pStyle w:val="BodyText2"/>
              <w:rPr>
                <w:sz w:val="24"/>
                <w:szCs w:val="24"/>
              </w:rPr>
            </w:pPr>
            <w:r w:rsidRPr="0041676F">
              <w:rPr>
                <w:sz w:val="24"/>
                <w:szCs w:val="24"/>
              </w:rPr>
              <w:t>Benchmark</w:t>
            </w:r>
          </w:p>
        </w:tc>
        <w:tc>
          <w:tcPr>
            <w:tcW w:w="1350" w:type="dxa"/>
          </w:tcPr>
          <w:p w14:paraId="45686C8E" w14:textId="4D70F36E"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472D5793" w14:textId="183792C1" w:rsidR="0049132A" w:rsidRPr="0041676F" w:rsidRDefault="00997972" w:rsidP="0049132A">
            <w:pPr>
              <w:pStyle w:val="BodyText2"/>
              <w:rPr>
                <w:sz w:val="24"/>
                <w:szCs w:val="24"/>
              </w:rPr>
            </w:pPr>
            <w:r w:rsidRPr="0041676F">
              <w:rPr>
                <w:sz w:val="24"/>
                <w:szCs w:val="24"/>
              </w:rPr>
              <w:t>Reporting (PHE)</w:t>
            </w:r>
          </w:p>
        </w:tc>
        <w:tc>
          <w:tcPr>
            <w:tcW w:w="1350" w:type="dxa"/>
          </w:tcPr>
          <w:p w14:paraId="23E4EF86" w14:textId="761C1D7B" w:rsidR="0049132A" w:rsidRPr="0041676F" w:rsidRDefault="0049132A" w:rsidP="0049132A">
            <w:pPr>
              <w:pStyle w:val="BodyText2"/>
              <w:rPr>
                <w:sz w:val="24"/>
                <w:szCs w:val="24"/>
              </w:rPr>
            </w:pPr>
            <w:r w:rsidRPr="0041676F">
              <w:rPr>
                <w:sz w:val="24"/>
                <w:szCs w:val="24"/>
              </w:rPr>
              <w:t>Benchmark</w:t>
            </w:r>
          </w:p>
        </w:tc>
      </w:tr>
      <w:tr w:rsidR="00785D1E" w14:paraId="015CBDD5" w14:textId="20C5B3A9" w:rsidTr="00640313">
        <w:tc>
          <w:tcPr>
            <w:tcW w:w="1170" w:type="dxa"/>
          </w:tcPr>
          <w:p w14:paraId="347AB53E" w14:textId="7EB1BE74" w:rsidR="00785D1E" w:rsidRDefault="00785D1E" w:rsidP="00AF620B">
            <w:pPr>
              <w:pStyle w:val="BodyText2"/>
              <w:rPr>
                <w:sz w:val="24"/>
                <w:szCs w:val="24"/>
              </w:rPr>
            </w:pPr>
            <w:r>
              <w:rPr>
                <w:sz w:val="24"/>
                <w:szCs w:val="24"/>
              </w:rPr>
              <w:t>A.7</w:t>
            </w:r>
          </w:p>
        </w:tc>
        <w:tc>
          <w:tcPr>
            <w:tcW w:w="1530" w:type="dxa"/>
          </w:tcPr>
          <w:p w14:paraId="24A77F5A" w14:textId="77777777" w:rsidR="00785D1E" w:rsidRPr="00AF620B" w:rsidRDefault="00785D1E" w:rsidP="00AF620B">
            <w:r w:rsidRPr="00AF620B">
              <w:t xml:space="preserve">Screening for fall risk </w:t>
            </w:r>
          </w:p>
          <w:p w14:paraId="6287D39A" w14:textId="28FD4F97" w:rsidR="00785D1E" w:rsidRPr="00AF620B" w:rsidRDefault="00785D1E" w:rsidP="00A83A7D">
            <w:pPr>
              <w:pStyle w:val="BodyText2"/>
              <w:rPr>
                <w:sz w:val="24"/>
                <w:szCs w:val="24"/>
              </w:rPr>
            </w:pPr>
            <w:r w:rsidRPr="00AF620B">
              <w:rPr>
                <w:i/>
                <w:sz w:val="24"/>
                <w:szCs w:val="24"/>
              </w:rPr>
              <w:t>(#0101)</w:t>
            </w:r>
            <w:r w:rsidR="001B5AD8">
              <w:rPr>
                <w:i/>
                <w:sz w:val="24"/>
                <w:szCs w:val="24"/>
                <w:vertAlign w:val="superscript"/>
              </w:rPr>
              <w:t>3</w:t>
            </w:r>
          </w:p>
        </w:tc>
        <w:tc>
          <w:tcPr>
            <w:tcW w:w="1260" w:type="dxa"/>
          </w:tcPr>
          <w:p w14:paraId="0FCDB11C" w14:textId="09A895E2" w:rsidR="00785D1E" w:rsidRDefault="00785D1E" w:rsidP="00AF620B">
            <w:pPr>
              <w:pStyle w:val="BodyText2"/>
              <w:rPr>
                <w:sz w:val="24"/>
                <w:szCs w:val="24"/>
              </w:rPr>
            </w:pPr>
            <w:r>
              <w:rPr>
                <w:sz w:val="24"/>
                <w:szCs w:val="24"/>
              </w:rPr>
              <w:t>Not Reported</w:t>
            </w:r>
          </w:p>
        </w:tc>
        <w:tc>
          <w:tcPr>
            <w:tcW w:w="1350" w:type="dxa"/>
          </w:tcPr>
          <w:p w14:paraId="611043CE" w14:textId="073B923B" w:rsidR="00785D1E" w:rsidRDefault="00785D1E" w:rsidP="00AF620B">
            <w:pPr>
              <w:pStyle w:val="BodyText2"/>
              <w:rPr>
                <w:sz w:val="24"/>
                <w:szCs w:val="24"/>
              </w:rPr>
            </w:pPr>
            <w:r>
              <w:rPr>
                <w:sz w:val="24"/>
                <w:szCs w:val="24"/>
              </w:rPr>
              <w:t>Not Reported</w:t>
            </w:r>
          </w:p>
        </w:tc>
        <w:tc>
          <w:tcPr>
            <w:tcW w:w="1350" w:type="dxa"/>
          </w:tcPr>
          <w:p w14:paraId="48061E5C" w14:textId="3C16DA28" w:rsidR="00785D1E" w:rsidRDefault="00785D1E" w:rsidP="00AF620B">
            <w:pPr>
              <w:pStyle w:val="BodyText2"/>
              <w:rPr>
                <w:sz w:val="24"/>
                <w:szCs w:val="24"/>
              </w:rPr>
            </w:pPr>
            <w:r>
              <w:rPr>
                <w:sz w:val="24"/>
                <w:szCs w:val="24"/>
              </w:rPr>
              <w:t>Reporting</w:t>
            </w:r>
          </w:p>
        </w:tc>
        <w:tc>
          <w:tcPr>
            <w:tcW w:w="1350" w:type="dxa"/>
          </w:tcPr>
          <w:p w14:paraId="2DC7982C" w14:textId="53BC0E6A" w:rsidR="00785D1E" w:rsidRDefault="00785D1E" w:rsidP="00AF620B">
            <w:pPr>
              <w:pStyle w:val="BodyText2"/>
              <w:rPr>
                <w:sz w:val="24"/>
                <w:szCs w:val="24"/>
              </w:rPr>
            </w:pPr>
            <w:r>
              <w:rPr>
                <w:sz w:val="24"/>
                <w:szCs w:val="24"/>
              </w:rPr>
              <w:t>Reporting</w:t>
            </w:r>
          </w:p>
        </w:tc>
        <w:tc>
          <w:tcPr>
            <w:tcW w:w="1350" w:type="dxa"/>
          </w:tcPr>
          <w:p w14:paraId="5D25A746" w14:textId="7081E933" w:rsidR="00785D1E" w:rsidRDefault="00785D1E" w:rsidP="00AF620B">
            <w:pPr>
              <w:pStyle w:val="BodyText2"/>
              <w:rPr>
                <w:sz w:val="24"/>
                <w:szCs w:val="24"/>
              </w:rPr>
            </w:pPr>
            <w:r>
              <w:rPr>
                <w:sz w:val="24"/>
                <w:szCs w:val="24"/>
              </w:rPr>
              <w:t>Retired</w:t>
            </w:r>
          </w:p>
        </w:tc>
        <w:tc>
          <w:tcPr>
            <w:tcW w:w="1350" w:type="dxa"/>
          </w:tcPr>
          <w:p w14:paraId="088F19BA" w14:textId="42DC2A8F" w:rsidR="00785D1E" w:rsidRDefault="00785D1E" w:rsidP="00AF620B">
            <w:pPr>
              <w:pStyle w:val="BodyText2"/>
              <w:rPr>
                <w:sz w:val="24"/>
                <w:szCs w:val="24"/>
              </w:rPr>
            </w:pPr>
            <w:r>
              <w:rPr>
                <w:sz w:val="24"/>
                <w:szCs w:val="24"/>
              </w:rPr>
              <w:t>Retired</w:t>
            </w:r>
          </w:p>
        </w:tc>
        <w:tc>
          <w:tcPr>
            <w:tcW w:w="1350" w:type="dxa"/>
          </w:tcPr>
          <w:p w14:paraId="74DA9A42" w14:textId="1359927C" w:rsidR="00785D1E" w:rsidRPr="0041676F" w:rsidRDefault="00785D1E" w:rsidP="00AF620B">
            <w:pPr>
              <w:pStyle w:val="BodyText2"/>
              <w:rPr>
                <w:sz w:val="24"/>
                <w:szCs w:val="24"/>
              </w:rPr>
            </w:pPr>
            <w:r w:rsidRPr="0041676F">
              <w:rPr>
                <w:sz w:val="24"/>
                <w:szCs w:val="24"/>
              </w:rPr>
              <w:t>Retired</w:t>
            </w:r>
          </w:p>
        </w:tc>
        <w:tc>
          <w:tcPr>
            <w:tcW w:w="1350" w:type="dxa"/>
          </w:tcPr>
          <w:p w14:paraId="6BF3060D" w14:textId="56D5D41A" w:rsidR="00785D1E" w:rsidRPr="0041676F" w:rsidRDefault="0003514B" w:rsidP="00AF620B">
            <w:pPr>
              <w:pStyle w:val="BodyText2"/>
              <w:rPr>
                <w:sz w:val="24"/>
                <w:szCs w:val="24"/>
              </w:rPr>
            </w:pPr>
            <w:r>
              <w:rPr>
                <w:sz w:val="24"/>
                <w:szCs w:val="24"/>
              </w:rPr>
              <w:t>Retired</w:t>
            </w:r>
          </w:p>
        </w:tc>
        <w:tc>
          <w:tcPr>
            <w:tcW w:w="1350" w:type="dxa"/>
          </w:tcPr>
          <w:p w14:paraId="5B8A14EA" w14:textId="0390E52E" w:rsidR="00785D1E" w:rsidRPr="0041676F" w:rsidRDefault="0049132A" w:rsidP="00AF620B">
            <w:pPr>
              <w:pStyle w:val="BodyText2"/>
              <w:rPr>
                <w:sz w:val="24"/>
                <w:szCs w:val="24"/>
              </w:rPr>
            </w:pPr>
            <w:r w:rsidRPr="0041676F">
              <w:rPr>
                <w:sz w:val="24"/>
                <w:szCs w:val="24"/>
              </w:rPr>
              <w:t>Retired</w:t>
            </w:r>
          </w:p>
        </w:tc>
      </w:tr>
      <w:tr w:rsidR="0049132A" w14:paraId="54C794AC" w14:textId="5B512987" w:rsidTr="00640313">
        <w:tc>
          <w:tcPr>
            <w:tcW w:w="1170" w:type="dxa"/>
          </w:tcPr>
          <w:p w14:paraId="5DEB3E90" w14:textId="03E45A8F" w:rsidR="0049132A" w:rsidRDefault="0049132A" w:rsidP="0049132A">
            <w:pPr>
              <w:pStyle w:val="BodyText2"/>
              <w:rPr>
                <w:sz w:val="24"/>
                <w:szCs w:val="24"/>
              </w:rPr>
            </w:pPr>
            <w:r>
              <w:rPr>
                <w:sz w:val="24"/>
                <w:szCs w:val="24"/>
              </w:rPr>
              <w:t>A.8</w:t>
            </w:r>
          </w:p>
        </w:tc>
        <w:tc>
          <w:tcPr>
            <w:tcW w:w="1530" w:type="dxa"/>
          </w:tcPr>
          <w:p w14:paraId="1D5937A3" w14:textId="77777777" w:rsidR="0049132A" w:rsidRPr="00AF620B" w:rsidRDefault="0049132A" w:rsidP="0049132A">
            <w:r w:rsidRPr="00AF620B">
              <w:t xml:space="preserve">Initiation of alcohol and other drug dependent treatment </w:t>
            </w:r>
          </w:p>
          <w:p w14:paraId="24CBFE45" w14:textId="795CC479" w:rsidR="0049132A" w:rsidRPr="00AF620B" w:rsidRDefault="0049132A" w:rsidP="0049132A">
            <w:pPr>
              <w:pStyle w:val="BodyText2"/>
              <w:rPr>
                <w:sz w:val="24"/>
                <w:szCs w:val="24"/>
              </w:rPr>
            </w:pPr>
            <w:r w:rsidRPr="00AF620B">
              <w:rPr>
                <w:i/>
                <w:sz w:val="24"/>
                <w:szCs w:val="24"/>
              </w:rPr>
              <w:t>(NQF #0004)</w:t>
            </w:r>
          </w:p>
        </w:tc>
        <w:tc>
          <w:tcPr>
            <w:tcW w:w="1260" w:type="dxa"/>
          </w:tcPr>
          <w:p w14:paraId="40E667D8" w14:textId="2740AF85" w:rsidR="0049132A" w:rsidRDefault="0049132A" w:rsidP="0049132A">
            <w:pPr>
              <w:pStyle w:val="BodyText2"/>
              <w:rPr>
                <w:sz w:val="24"/>
                <w:szCs w:val="24"/>
              </w:rPr>
            </w:pPr>
            <w:r w:rsidRPr="002F71B6">
              <w:rPr>
                <w:sz w:val="24"/>
                <w:szCs w:val="24"/>
              </w:rPr>
              <w:t>Not Reported</w:t>
            </w:r>
          </w:p>
        </w:tc>
        <w:tc>
          <w:tcPr>
            <w:tcW w:w="1350" w:type="dxa"/>
          </w:tcPr>
          <w:p w14:paraId="622AADF2" w14:textId="779A3CE2" w:rsidR="0049132A" w:rsidRDefault="0049132A" w:rsidP="0049132A">
            <w:pPr>
              <w:pStyle w:val="BodyText2"/>
              <w:rPr>
                <w:sz w:val="24"/>
                <w:szCs w:val="24"/>
              </w:rPr>
            </w:pPr>
            <w:r w:rsidRPr="002F71B6">
              <w:rPr>
                <w:sz w:val="24"/>
                <w:szCs w:val="24"/>
              </w:rPr>
              <w:t>Not Reported</w:t>
            </w:r>
          </w:p>
        </w:tc>
        <w:tc>
          <w:tcPr>
            <w:tcW w:w="1350" w:type="dxa"/>
          </w:tcPr>
          <w:p w14:paraId="1A600D02" w14:textId="6E554D0D" w:rsidR="0049132A" w:rsidRDefault="0049132A" w:rsidP="0049132A">
            <w:pPr>
              <w:pStyle w:val="BodyText2"/>
              <w:rPr>
                <w:sz w:val="24"/>
                <w:szCs w:val="24"/>
              </w:rPr>
            </w:pPr>
            <w:r>
              <w:rPr>
                <w:sz w:val="24"/>
                <w:szCs w:val="24"/>
              </w:rPr>
              <w:t>Reporting</w:t>
            </w:r>
          </w:p>
        </w:tc>
        <w:tc>
          <w:tcPr>
            <w:tcW w:w="1350" w:type="dxa"/>
          </w:tcPr>
          <w:p w14:paraId="71DFD55F" w14:textId="5979D9CB" w:rsidR="0049132A" w:rsidRDefault="0049132A" w:rsidP="0049132A">
            <w:pPr>
              <w:pStyle w:val="BodyText2"/>
              <w:rPr>
                <w:sz w:val="24"/>
                <w:szCs w:val="24"/>
              </w:rPr>
            </w:pPr>
            <w:r>
              <w:rPr>
                <w:sz w:val="24"/>
                <w:szCs w:val="24"/>
              </w:rPr>
              <w:t>Reporting</w:t>
            </w:r>
          </w:p>
        </w:tc>
        <w:tc>
          <w:tcPr>
            <w:tcW w:w="1350" w:type="dxa"/>
          </w:tcPr>
          <w:p w14:paraId="3309A0F0" w14:textId="32A51424" w:rsidR="0049132A" w:rsidRDefault="0049132A" w:rsidP="0049132A">
            <w:pPr>
              <w:pStyle w:val="BodyText2"/>
              <w:rPr>
                <w:sz w:val="24"/>
                <w:szCs w:val="24"/>
              </w:rPr>
            </w:pPr>
            <w:r>
              <w:rPr>
                <w:sz w:val="24"/>
                <w:szCs w:val="24"/>
              </w:rPr>
              <w:t>Reporting</w:t>
            </w:r>
          </w:p>
        </w:tc>
        <w:tc>
          <w:tcPr>
            <w:tcW w:w="1350" w:type="dxa"/>
          </w:tcPr>
          <w:p w14:paraId="136FE1BF" w14:textId="0202894A" w:rsidR="0049132A" w:rsidRDefault="0049132A" w:rsidP="0049132A">
            <w:pPr>
              <w:pStyle w:val="BodyText2"/>
              <w:rPr>
                <w:sz w:val="24"/>
                <w:szCs w:val="24"/>
              </w:rPr>
            </w:pPr>
            <w:r>
              <w:rPr>
                <w:sz w:val="24"/>
                <w:szCs w:val="24"/>
              </w:rPr>
              <w:t>Benchmark</w:t>
            </w:r>
          </w:p>
        </w:tc>
        <w:tc>
          <w:tcPr>
            <w:tcW w:w="1350" w:type="dxa"/>
          </w:tcPr>
          <w:p w14:paraId="70790383" w14:textId="77777777" w:rsidR="001B5AD8" w:rsidRPr="0041676F" w:rsidRDefault="0049132A" w:rsidP="0049132A">
            <w:pPr>
              <w:pStyle w:val="BodyText2"/>
              <w:rPr>
                <w:sz w:val="24"/>
                <w:szCs w:val="24"/>
              </w:rPr>
            </w:pPr>
            <w:r w:rsidRPr="0041676F">
              <w:rPr>
                <w:sz w:val="24"/>
                <w:szCs w:val="24"/>
              </w:rPr>
              <w:t>Reporting (PHE)</w:t>
            </w:r>
          </w:p>
          <w:p w14:paraId="46340599" w14:textId="60FCADB2" w:rsidR="0049132A" w:rsidRPr="0041676F" w:rsidRDefault="0049132A" w:rsidP="0049132A">
            <w:pPr>
              <w:pStyle w:val="BodyText2"/>
              <w:rPr>
                <w:sz w:val="24"/>
                <w:szCs w:val="24"/>
              </w:rPr>
            </w:pPr>
          </w:p>
        </w:tc>
        <w:tc>
          <w:tcPr>
            <w:tcW w:w="1350" w:type="dxa"/>
          </w:tcPr>
          <w:p w14:paraId="4CA5CE6A" w14:textId="2705AD56" w:rsidR="0049132A" w:rsidRPr="0041676F" w:rsidRDefault="00997972" w:rsidP="0049132A">
            <w:pPr>
              <w:pStyle w:val="BodyText2"/>
              <w:rPr>
                <w:sz w:val="24"/>
                <w:szCs w:val="24"/>
              </w:rPr>
            </w:pPr>
            <w:r w:rsidRPr="0041676F">
              <w:rPr>
                <w:sz w:val="24"/>
                <w:szCs w:val="24"/>
              </w:rPr>
              <w:t>Reporting (PHE)</w:t>
            </w:r>
          </w:p>
        </w:tc>
        <w:tc>
          <w:tcPr>
            <w:tcW w:w="1350" w:type="dxa"/>
          </w:tcPr>
          <w:p w14:paraId="53B2F5AF" w14:textId="26E58156" w:rsidR="0049132A" w:rsidRPr="0041676F" w:rsidRDefault="0049132A" w:rsidP="0049132A">
            <w:pPr>
              <w:pStyle w:val="BodyText2"/>
              <w:rPr>
                <w:sz w:val="24"/>
                <w:szCs w:val="24"/>
              </w:rPr>
            </w:pPr>
            <w:r w:rsidRPr="0041676F">
              <w:rPr>
                <w:sz w:val="24"/>
                <w:szCs w:val="24"/>
              </w:rPr>
              <w:t>Benchmark</w:t>
            </w:r>
          </w:p>
        </w:tc>
      </w:tr>
      <w:tr w:rsidR="0049132A" w14:paraId="6CAE33CE" w14:textId="13882C05" w:rsidTr="00640313">
        <w:tc>
          <w:tcPr>
            <w:tcW w:w="1170" w:type="dxa"/>
          </w:tcPr>
          <w:p w14:paraId="079F7F60" w14:textId="6A72E182" w:rsidR="0049132A" w:rsidRDefault="0049132A" w:rsidP="0049132A">
            <w:pPr>
              <w:pStyle w:val="BodyText2"/>
              <w:rPr>
                <w:sz w:val="24"/>
                <w:szCs w:val="24"/>
              </w:rPr>
            </w:pPr>
            <w:r>
              <w:rPr>
                <w:sz w:val="24"/>
                <w:szCs w:val="24"/>
              </w:rPr>
              <w:t>A.9</w:t>
            </w:r>
          </w:p>
        </w:tc>
        <w:tc>
          <w:tcPr>
            <w:tcW w:w="1530" w:type="dxa"/>
          </w:tcPr>
          <w:p w14:paraId="0CE64724" w14:textId="4B877D81" w:rsidR="0049132A" w:rsidRPr="00AF620B" w:rsidRDefault="0049132A" w:rsidP="0049132A">
            <w:pPr>
              <w:pStyle w:val="BodyText2"/>
              <w:rPr>
                <w:sz w:val="24"/>
                <w:szCs w:val="24"/>
              </w:rPr>
            </w:pPr>
            <w:r w:rsidRPr="00AF620B">
              <w:rPr>
                <w:sz w:val="24"/>
                <w:szCs w:val="24"/>
              </w:rPr>
              <w:t>Enrollees with an Assessment Completed: Percentage of demonstration</w:t>
            </w:r>
            <w:r w:rsidR="00640313">
              <w:rPr>
                <w:sz w:val="24"/>
                <w:szCs w:val="24"/>
              </w:rPr>
              <w:t>-el</w:t>
            </w:r>
            <w:r w:rsidRPr="00AF620B">
              <w:rPr>
                <w:sz w:val="24"/>
                <w:szCs w:val="24"/>
              </w:rPr>
              <w:t xml:space="preserve">igible Medicare-Medicaid enrollees who are enrolled with a care coordination entity and had an assessment completed </w:t>
            </w:r>
            <w:r w:rsidRPr="00AF620B">
              <w:rPr>
                <w:sz w:val="24"/>
                <w:szCs w:val="24"/>
              </w:rPr>
              <w:lastRenderedPageBreak/>
              <w:t>within 90 days of enrollment with a care coordination entity</w:t>
            </w:r>
            <w:r w:rsidR="001B5AD8">
              <w:rPr>
                <w:sz w:val="24"/>
                <w:szCs w:val="24"/>
                <w:vertAlign w:val="superscript"/>
              </w:rPr>
              <w:t>4</w:t>
            </w:r>
          </w:p>
        </w:tc>
        <w:tc>
          <w:tcPr>
            <w:tcW w:w="1260" w:type="dxa"/>
          </w:tcPr>
          <w:p w14:paraId="7943EB91" w14:textId="57EACEAC" w:rsidR="0049132A" w:rsidRDefault="0049132A" w:rsidP="0049132A">
            <w:pPr>
              <w:pStyle w:val="BodyText2"/>
              <w:rPr>
                <w:sz w:val="24"/>
                <w:szCs w:val="24"/>
              </w:rPr>
            </w:pPr>
            <w:r w:rsidRPr="00717E38">
              <w:rPr>
                <w:sz w:val="24"/>
                <w:szCs w:val="24"/>
              </w:rPr>
              <w:lastRenderedPageBreak/>
              <w:t>Not Reported</w:t>
            </w:r>
          </w:p>
        </w:tc>
        <w:tc>
          <w:tcPr>
            <w:tcW w:w="1350" w:type="dxa"/>
          </w:tcPr>
          <w:p w14:paraId="3DB1226C" w14:textId="66077BDE" w:rsidR="0049132A" w:rsidRDefault="0049132A" w:rsidP="0049132A">
            <w:pPr>
              <w:pStyle w:val="BodyText2"/>
              <w:rPr>
                <w:sz w:val="24"/>
                <w:szCs w:val="24"/>
              </w:rPr>
            </w:pPr>
            <w:r w:rsidRPr="00717E38">
              <w:rPr>
                <w:sz w:val="24"/>
                <w:szCs w:val="24"/>
              </w:rPr>
              <w:t>Not Reported</w:t>
            </w:r>
          </w:p>
        </w:tc>
        <w:tc>
          <w:tcPr>
            <w:tcW w:w="1350" w:type="dxa"/>
          </w:tcPr>
          <w:p w14:paraId="4F824FBE" w14:textId="4827D641" w:rsidR="0049132A" w:rsidRDefault="0049132A" w:rsidP="0049132A">
            <w:pPr>
              <w:pStyle w:val="BodyText2"/>
              <w:rPr>
                <w:sz w:val="24"/>
                <w:szCs w:val="24"/>
              </w:rPr>
            </w:pPr>
            <w:r w:rsidRPr="00717E38">
              <w:rPr>
                <w:sz w:val="24"/>
                <w:szCs w:val="24"/>
              </w:rPr>
              <w:t>Not Reported</w:t>
            </w:r>
          </w:p>
        </w:tc>
        <w:tc>
          <w:tcPr>
            <w:tcW w:w="1350" w:type="dxa"/>
          </w:tcPr>
          <w:p w14:paraId="553A02F0" w14:textId="3B5356F4" w:rsidR="0049132A" w:rsidRDefault="0049132A" w:rsidP="0049132A">
            <w:pPr>
              <w:pStyle w:val="BodyText2"/>
              <w:rPr>
                <w:sz w:val="24"/>
                <w:szCs w:val="24"/>
              </w:rPr>
            </w:pPr>
            <w:r w:rsidRPr="00717E38">
              <w:rPr>
                <w:sz w:val="24"/>
                <w:szCs w:val="24"/>
              </w:rPr>
              <w:t>Not Reported</w:t>
            </w:r>
          </w:p>
        </w:tc>
        <w:tc>
          <w:tcPr>
            <w:tcW w:w="1350" w:type="dxa"/>
          </w:tcPr>
          <w:p w14:paraId="2D8FA601" w14:textId="5A891A6D" w:rsidR="0049132A" w:rsidRDefault="0049132A" w:rsidP="0049132A">
            <w:pPr>
              <w:pStyle w:val="BodyText2"/>
              <w:rPr>
                <w:sz w:val="24"/>
                <w:szCs w:val="24"/>
              </w:rPr>
            </w:pPr>
            <w:r>
              <w:rPr>
                <w:sz w:val="24"/>
                <w:szCs w:val="24"/>
              </w:rPr>
              <w:t>Reporting</w:t>
            </w:r>
          </w:p>
        </w:tc>
        <w:tc>
          <w:tcPr>
            <w:tcW w:w="1350" w:type="dxa"/>
          </w:tcPr>
          <w:p w14:paraId="7AE02EA7" w14:textId="58C7B837" w:rsidR="0049132A" w:rsidRDefault="0049132A" w:rsidP="0049132A">
            <w:pPr>
              <w:pStyle w:val="BodyText2"/>
              <w:rPr>
                <w:sz w:val="24"/>
                <w:szCs w:val="24"/>
              </w:rPr>
            </w:pPr>
            <w:r>
              <w:rPr>
                <w:sz w:val="24"/>
                <w:szCs w:val="24"/>
              </w:rPr>
              <w:t>Benchmark</w:t>
            </w:r>
          </w:p>
        </w:tc>
        <w:tc>
          <w:tcPr>
            <w:tcW w:w="1350" w:type="dxa"/>
          </w:tcPr>
          <w:p w14:paraId="056AC903" w14:textId="6041DC71" w:rsidR="0049132A" w:rsidRPr="0041676F" w:rsidRDefault="0049132A" w:rsidP="0049132A">
            <w:pPr>
              <w:pStyle w:val="BodyText2"/>
              <w:rPr>
                <w:sz w:val="24"/>
                <w:szCs w:val="24"/>
              </w:rPr>
            </w:pPr>
            <w:r w:rsidRPr="0041676F">
              <w:rPr>
                <w:sz w:val="24"/>
                <w:szCs w:val="24"/>
              </w:rPr>
              <w:t xml:space="preserve"> Reporting (PHE)</w:t>
            </w:r>
          </w:p>
        </w:tc>
        <w:tc>
          <w:tcPr>
            <w:tcW w:w="1350" w:type="dxa"/>
          </w:tcPr>
          <w:p w14:paraId="050CEB99" w14:textId="7467FE85" w:rsidR="0049132A" w:rsidRPr="0041676F" w:rsidRDefault="00997972" w:rsidP="0049132A">
            <w:pPr>
              <w:pStyle w:val="BodyText2"/>
              <w:rPr>
                <w:sz w:val="24"/>
                <w:szCs w:val="24"/>
              </w:rPr>
            </w:pPr>
            <w:r w:rsidRPr="0041676F">
              <w:rPr>
                <w:sz w:val="24"/>
                <w:szCs w:val="24"/>
              </w:rPr>
              <w:t xml:space="preserve"> Reporting (PHE)</w:t>
            </w:r>
          </w:p>
        </w:tc>
        <w:tc>
          <w:tcPr>
            <w:tcW w:w="1350" w:type="dxa"/>
          </w:tcPr>
          <w:p w14:paraId="6A0D6F71" w14:textId="07EB75BC" w:rsidR="0049132A" w:rsidRPr="0041676F" w:rsidRDefault="0049132A" w:rsidP="0049132A">
            <w:pPr>
              <w:pStyle w:val="BodyText2"/>
              <w:rPr>
                <w:sz w:val="24"/>
                <w:szCs w:val="24"/>
              </w:rPr>
            </w:pPr>
            <w:r w:rsidRPr="0041676F">
              <w:rPr>
                <w:sz w:val="24"/>
                <w:szCs w:val="24"/>
              </w:rPr>
              <w:t>Benchmark</w:t>
            </w:r>
          </w:p>
        </w:tc>
      </w:tr>
      <w:tr w:rsidR="0049132A" w14:paraId="0259A71B" w14:textId="207921A9" w:rsidTr="00640313">
        <w:tc>
          <w:tcPr>
            <w:tcW w:w="1170" w:type="dxa"/>
          </w:tcPr>
          <w:p w14:paraId="66BA780F" w14:textId="544235F5" w:rsidR="0049132A" w:rsidRDefault="0049132A" w:rsidP="0049132A">
            <w:pPr>
              <w:pStyle w:val="BodyText2"/>
              <w:rPr>
                <w:sz w:val="24"/>
                <w:szCs w:val="24"/>
              </w:rPr>
            </w:pPr>
            <w:r>
              <w:rPr>
                <w:sz w:val="24"/>
                <w:szCs w:val="24"/>
              </w:rPr>
              <w:t>A.10</w:t>
            </w:r>
          </w:p>
        </w:tc>
        <w:tc>
          <w:tcPr>
            <w:tcW w:w="1530" w:type="dxa"/>
          </w:tcPr>
          <w:p w14:paraId="1A9CD5EE" w14:textId="5247D870" w:rsidR="0049132A" w:rsidRPr="00AF620B" w:rsidRDefault="0049132A" w:rsidP="0049132A">
            <w:pPr>
              <w:pStyle w:val="BodyText2"/>
              <w:rPr>
                <w:sz w:val="24"/>
                <w:szCs w:val="24"/>
              </w:rPr>
            </w:pPr>
            <w:r w:rsidRPr="00AF620B">
              <w:rPr>
                <w:sz w:val="24"/>
                <w:szCs w:val="24"/>
              </w:rPr>
              <w:t xml:space="preserve">Enrollees with a Care Plan Completed: Percentage of demonstration-eligible Medicare-Medicaid enrollees who are enrolled with a care coordination entity and had a care plan completed within 90 days of enrollment with a care </w:t>
            </w:r>
            <w:r w:rsidRPr="00AF620B">
              <w:rPr>
                <w:sz w:val="24"/>
                <w:szCs w:val="24"/>
              </w:rPr>
              <w:lastRenderedPageBreak/>
              <w:t>coordination entity</w:t>
            </w:r>
            <w:r w:rsidR="001B5AD8">
              <w:rPr>
                <w:sz w:val="24"/>
                <w:szCs w:val="24"/>
                <w:vertAlign w:val="superscript"/>
              </w:rPr>
              <w:t>5</w:t>
            </w:r>
          </w:p>
        </w:tc>
        <w:tc>
          <w:tcPr>
            <w:tcW w:w="1260" w:type="dxa"/>
          </w:tcPr>
          <w:p w14:paraId="0DC7D651" w14:textId="7533EA96" w:rsidR="0049132A" w:rsidRDefault="0049132A" w:rsidP="0049132A">
            <w:pPr>
              <w:pStyle w:val="BodyText2"/>
              <w:rPr>
                <w:sz w:val="24"/>
                <w:szCs w:val="24"/>
              </w:rPr>
            </w:pPr>
            <w:r w:rsidRPr="00CE2D18">
              <w:rPr>
                <w:sz w:val="24"/>
                <w:szCs w:val="24"/>
              </w:rPr>
              <w:lastRenderedPageBreak/>
              <w:t>Not Reported</w:t>
            </w:r>
          </w:p>
        </w:tc>
        <w:tc>
          <w:tcPr>
            <w:tcW w:w="1350" w:type="dxa"/>
          </w:tcPr>
          <w:p w14:paraId="4675A682" w14:textId="63BB64A4" w:rsidR="0049132A" w:rsidRDefault="0049132A" w:rsidP="0049132A">
            <w:pPr>
              <w:pStyle w:val="BodyText2"/>
              <w:rPr>
                <w:sz w:val="24"/>
                <w:szCs w:val="24"/>
              </w:rPr>
            </w:pPr>
            <w:r w:rsidRPr="00CE2D18">
              <w:rPr>
                <w:sz w:val="24"/>
                <w:szCs w:val="24"/>
              </w:rPr>
              <w:t>Not Reported</w:t>
            </w:r>
          </w:p>
        </w:tc>
        <w:tc>
          <w:tcPr>
            <w:tcW w:w="1350" w:type="dxa"/>
          </w:tcPr>
          <w:p w14:paraId="2A81B533" w14:textId="2710D400" w:rsidR="0049132A" w:rsidRDefault="0049132A" w:rsidP="0049132A">
            <w:pPr>
              <w:pStyle w:val="BodyText2"/>
              <w:rPr>
                <w:sz w:val="24"/>
                <w:szCs w:val="24"/>
              </w:rPr>
            </w:pPr>
            <w:r w:rsidRPr="00CE2D18">
              <w:rPr>
                <w:sz w:val="24"/>
                <w:szCs w:val="24"/>
              </w:rPr>
              <w:t>Not Reported</w:t>
            </w:r>
          </w:p>
        </w:tc>
        <w:tc>
          <w:tcPr>
            <w:tcW w:w="1350" w:type="dxa"/>
          </w:tcPr>
          <w:p w14:paraId="4D11358D" w14:textId="4BA1D778" w:rsidR="0049132A" w:rsidRDefault="0049132A" w:rsidP="0049132A">
            <w:pPr>
              <w:pStyle w:val="BodyText2"/>
              <w:rPr>
                <w:sz w:val="24"/>
                <w:szCs w:val="24"/>
              </w:rPr>
            </w:pPr>
            <w:r w:rsidRPr="00CE2D18">
              <w:rPr>
                <w:sz w:val="24"/>
                <w:szCs w:val="24"/>
              </w:rPr>
              <w:t>Not Reported</w:t>
            </w:r>
          </w:p>
        </w:tc>
        <w:tc>
          <w:tcPr>
            <w:tcW w:w="1350" w:type="dxa"/>
          </w:tcPr>
          <w:p w14:paraId="28403BC4" w14:textId="49040A6B" w:rsidR="0049132A" w:rsidRDefault="0049132A" w:rsidP="0049132A">
            <w:pPr>
              <w:pStyle w:val="BodyText2"/>
              <w:rPr>
                <w:sz w:val="24"/>
                <w:szCs w:val="24"/>
              </w:rPr>
            </w:pPr>
            <w:r>
              <w:rPr>
                <w:sz w:val="24"/>
                <w:szCs w:val="24"/>
              </w:rPr>
              <w:t>Reporting</w:t>
            </w:r>
          </w:p>
        </w:tc>
        <w:tc>
          <w:tcPr>
            <w:tcW w:w="1350" w:type="dxa"/>
          </w:tcPr>
          <w:p w14:paraId="43418400" w14:textId="3B10798C" w:rsidR="0049132A" w:rsidRDefault="0049132A" w:rsidP="0049132A">
            <w:pPr>
              <w:pStyle w:val="BodyText2"/>
              <w:rPr>
                <w:sz w:val="24"/>
                <w:szCs w:val="24"/>
              </w:rPr>
            </w:pPr>
            <w:r>
              <w:rPr>
                <w:sz w:val="24"/>
                <w:szCs w:val="24"/>
              </w:rPr>
              <w:t>Benchmark</w:t>
            </w:r>
          </w:p>
        </w:tc>
        <w:tc>
          <w:tcPr>
            <w:tcW w:w="1350" w:type="dxa"/>
          </w:tcPr>
          <w:p w14:paraId="6600AC6A" w14:textId="77777777" w:rsidR="001B5AD8" w:rsidRPr="0041676F" w:rsidRDefault="0049132A" w:rsidP="0049132A">
            <w:pPr>
              <w:pStyle w:val="BodyText2"/>
              <w:rPr>
                <w:sz w:val="24"/>
                <w:szCs w:val="24"/>
              </w:rPr>
            </w:pPr>
            <w:r w:rsidRPr="0041676F">
              <w:rPr>
                <w:sz w:val="24"/>
                <w:szCs w:val="24"/>
              </w:rPr>
              <w:t>Reporting (PHE)</w:t>
            </w:r>
          </w:p>
          <w:p w14:paraId="4371DDE0" w14:textId="5BC2B2B5" w:rsidR="0049132A" w:rsidRPr="0041676F" w:rsidRDefault="0049132A" w:rsidP="0049132A">
            <w:pPr>
              <w:pStyle w:val="BodyText2"/>
              <w:rPr>
                <w:sz w:val="24"/>
                <w:szCs w:val="24"/>
              </w:rPr>
            </w:pPr>
          </w:p>
        </w:tc>
        <w:tc>
          <w:tcPr>
            <w:tcW w:w="1350" w:type="dxa"/>
          </w:tcPr>
          <w:p w14:paraId="1705AB90" w14:textId="1FD79110" w:rsidR="0049132A" w:rsidRPr="0041676F" w:rsidRDefault="00997972" w:rsidP="0049132A">
            <w:pPr>
              <w:pStyle w:val="BodyText2"/>
              <w:rPr>
                <w:sz w:val="24"/>
                <w:szCs w:val="24"/>
              </w:rPr>
            </w:pPr>
            <w:r w:rsidRPr="0041676F">
              <w:rPr>
                <w:sz w:val="24"/>
                <w:szCs w:val="24"/>
              </w:rPr>
              <w:t>Reporting (PHE)</w:t>
            </w:r>
          </w:p>
        </w:tc>
        <w:tc>
          <w:tcPr>
            <w:tcW w:w="1350" w:type="dxa"/>
          </w:tcPr>
          <w:p w14:paraId="620D218A" w14:textId="1BA2CFF9" w:rsidR="0049132A" w:rsidRPr="0041676F" w:rsidRDefault="0049132A" w:rsidP="0049132A">
            <w:pPr>
              <w:pStyle w:val="BodyText2"/>
              <w:rPr>
                <w:sz w:val="24"/>
                <w:szCs w:val="24"/>
              </w:rPr>
            </w:pPr>
            <w:r w:rsidRPr="0041676F">
              <w:rPr>
                <w:sz w:val="24"/>
                <w:szCs w:val="24"/>
              </w:rPr>
              <w:t>Benchmark</w:t>
            </w:r>
          </w:p>
        </w:tc>
      </w:tr>
      <w:tr w:rsidR="0049132A" w14:paraId="02D8F1B8" w14:textId="2CCCA079" w:rsidTr="00640313">
        <w:tc>
          <w:tcPr>
            <w:tcW w:w="1170" w:type="dxa"/>
          </w:tcPr>
          <w:p w14:paraId="446C6A49" w14:textId="0B1CC9E7" w:rsidR="0049132A" w:rsidRDefault="0049132A" w:rsidP="0049132A">
            <w:pPr>
              <w:pStyle w:val="BodyText2"/>
              <w:rPr>
                <w:sz w:val="24"/>
                <w:szCs w:val="24"/>
              </w:rPr>
            </w:pPr>
            <w:r>
              <w:rPr>
                <w:sz w:val="24"/>
                <w:szCs w:val="24"/>
              </w:rPr>
              <w:t>A.11</w:t>
            </w:r>
          </w:p>
        </w:tc>
        <w:tc>
          <w:tcPr>
            <w:tcW w:w="1530" w:type="dxa"/>
            <w:tcBorders>
              <w:bottom w:val="single" w:sz="4" w:space="0" w:color="auto"/>
            </w:tcBorders>
          </w:tcPr>
          <w:p w14:paraId="0E364432" w14:textId="0C25DB39" w:rsidR="0049132A" w:rsidRPr="00AF620B" w:rsidRDefault="0049132A" w:rsidP="0049132A">
            <w:pPr>
              <w:pStyle w:val="BodyText2"/>
              <w:rPr>
                <w:sz w:val="24"/>
                <w:szCs w:val="24"/>
              </w:rPr>
            </w:pPr>
            <w:r w:rsidRPr="00AF620B">
              <w:rPr>
                <w:sz w:val="24"/>
                <w:szCs w:val="24"/>
              </w:rPr>
              <w:t>Mental Health Penetration: Percentage of beneficiaries with mental health service need who received mental health service</w:t>
            </w:r>
            <w:r w:rsidR="001B5AD8">
              <w:rPr>
                <w:sz w:val="24"/>
                <w:szCs w:val="24"/>
                <w:vertAlign w:val="superscript"/>
              </w:rPr>
              <w:t>3</w:t>
            </w:r>
          </w:p>
        </w:tc>
        <w:tc>
          <w:tcPr>
            <w:tcW w:w="1260" w:type="dxa"/>
            <w:tcBorders>
              <w:bottom w:val="single" w:sz="4" w:space="0" w:color="auto"/>
            </w:tcBorders>
          </w:tcPr>
          <w:p w14:paraId="52E2FC31" w14:textId="7DC892FF"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68F1CF52" w14:textId="12BC318F"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1FAB6FBB" w14:textId="58C5E43C"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0EEA24D7" w14:textId="3AD1AEDC"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4793FFA8" w14:textId="4A957C10"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13C3A8AD" w14:textId="63C554F1" w:rsidR="0049132A" w:rsidRDefault="0049132A" w:rsidP="0049132A">
            <w:pPr>
              <w:pStyle w:val="BodyText2"/>
              <w:rPr>
                <w:sz w:val="24"/>
                <w:szCs w:val="24"/>
              </w:rPr>
            </w:pPr>
            <w:r>
              <w:rPr>
                <w:sz w:val="24"/>
                <w:szCs w:val="24"/>
              </w:rPr>
              <w:t>Benchmark</w:t>
            </w:r>
          </w:p>
        </w:tc>
        <w:tc>
          <w:tcPr>
            <w:tcW w:w="1350" w:type="dxa"/>
          </w:tcPr>
          <w:p w14:paraId="542AA3C0" w14:textId="34399574"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66FA6C9C" w14:textId="2BE4DDF8" w:rsidR="0049132A" w:rsidRPr="0041676F" w:rsidRDefault="00997972" w:rsidP="0049132A">
            <w:pPr>
              <w:pStyle w:val="BodyText2"/>
              <w:rPr>
                <w:sz w:val="24"/>
                <w:szCs w:val="24"/>
              </w:rPr>
            </w:pPr>
            <w:r w:rsidRPr="0041676F">
              <w:rPr>
                <w:sz w:val="24"/>
                <w:szCs w:val="24"/>
              </w:rPr>
              <w:t>Reporting (PHE)</w:t>
            </w:r>
          </w:p>
        </w:tc>
        <w:tc>
          <w:tcPr>
            <w:tcW w:w="1350" w:type="dxa"/>
          </w:tcPr>
          <w:p w14:paraId="413506AB" w14:textId="6F1C4B29" w:rsidR="0049132A" w:rsidRPr="0041676F" w:rsidRDefault="0049132A" w:rsidP="0049132A">
            <w:pPr>
              <w:pStyle w:val="BodyText2"/>
              <w:rPr>
                <w:sz w:val="24"/>
                <w:szCs w:val="24"/>
              </w:rPr>
            </w:pPr>
            <w:r w:rsidRPr="0041676F">
              <w:rPr>
                <w:sz w:val="24"/>
                <w:szCs w:val="24"/>
              </w:rPr>
              <w:t>Benchmark</w:t>
            </w:r>
          </w:p>
        </w:tc>
      </w:tr>
      <w:tr w:rsidR="0002467C" w14:paraId="169B4948" w14:textId="2A4D9741" w:rsidTr="00640313">
        <w:tc>
          <w:tcPr>
            <w:tcW w:w="14760" w:type="dxa"/>
            <w:gridSpan w:val="11"/>
            <w:shd w:val="clear" w:color="auto" w:fill="F2F2F2" w:themeFill="background1" w:themeFillShade="F2"/>
          </w:tcPr>
          <w:p w14:paraId="7DB056E0" w14:textId="2692C916" w:rsidR="0002467C" w:rsidRDefault="0002467C" w:rsidP="00AF620B">
            <w:pPr>
              <w:pStyle w:val="BodyText2"/>
              <w:rPr>
                <w:sz w:val="24"/>
                <w:szCs w:val="24"/>
              </w:rPr>
            </w:pPr>
            <w:r w:rsidRPr="00D652B3">
              <w:rPr>
                <w:b/>
                <w:sz w:val="24"/>
                <w:szCs w:val="24"/>
              </w:rPr>
              <w:t>State-Specific Process Measures</w:t>
            </w:r>
          </w:p>
        </w:tc>
      </w:tr>
      <w:tr w:rsidR="00785D1E" w14:paraId="64380DAE" w14:textId="7101CD67" w:rsidTr="00640313">
        <w:tc>
          <w:tcPr>
            <w:tcW w:w="1170" w:type="dxa"/>
          </w:tcPr>
          <w:p w14:paraId="5E56FD29" w14:textId="6A7A6AD9" w:rsidR="00785D1E" w:rsidRDefault="00785D1E" w:rsidP="00AF620B">
            <w:pPr>
              <w:pStyle w:val="BodyText2"/>
              <w:rPr>
                <w:sz w:val="24"/>
                <w:szCs w:val="24"/>
              </w:rPr>
            </w:pPr>
            <w:r>
              <w:rPr>
                <w:sz w:val="24"/>
                <w:szCs w:val="24"/>
              </w:rPr>
              <w:t>B.1</w:t>
            </w:r>
          </w:p>
        </w:tc>
        <w:tc>
          <w:tcPr>
            <w:tcW w:w="1530" w:type="dxa"/>
          </w:tcPr>
          <w:p w14:paraId="4A3AFBF7" w14:textId="65665E30" w:rsidR="00785D1E" w:rsidRDefault="00785D1E" w:rsidP="00A83A7D">
            <w:pPr>
              <w:pStyle w:val="BodyText2"/>
              <w:rPr>
                <w:sz w:val="24"/>
                <w:szCs w:val="24"/>
              </w:rPr>
            </w:pPr>
            <w:r w:rsidRPr="00AF620B">
              <w:rPr>
                <w:sz w:val="24"/>
              </w:rPr>
              <w:t>Health Action Plans: Percentage of beneficiaries with Health Action Plans within 90 days of enrollment</w:t>
            </w:r>
            <w:r w:rsidR="001B5AD8">
              <w:rPr>
                <w:sz w:val="24"/>
                <w:vertAlign w:val="superscript"/>
              </w:rPr>
              <w:t>6</w:t>
            </w:r>
          </w:p>
        </w:tc>
        <w:tc>
          <w:tcPr>
            <w:tcW w:w="1260" w:type="dxa"/>
          </w:tcPr>
          <w:p w14:paraId="53E1060D" w14:textId="626F14AC" w:rsidR="00785D1E" w:rsidRDefault="00785D1E" w:rsidP="00AF620B">
            <w:pPr>
              <w:pStyle w:val="BodyText2"/>
              <w:rPr>
                <w:sz w:val="24"/>
                <w:szCs w:val="24"/>
              </w:rPr>
            </w:pPr>
            <w:r>
              <w:rPr>
                <w:sz w:val="24"/>
                <w:szCs w:val="24"/>
              </w:rPr>
              <w:t>Reporting</w:t>
            </w:r>
          </w:p>
        </w:tc>
        <w:tc>
          <w:tcPr>
            <w:tcW w:w="1350" w:type="dxa"/>
          </w:tcPr>
          <w:p w14:paraId="7AB1F9F6" w14:textId="0067D398" w:rsidR="00785D1E" w:rsidRDefault="00785D1E" w:rsidP="00AF620B">
            <w:pPr>
              <w:pStyle w:val="BodyText2"/>
              <w:rPr>
                <w:sz w:val="24"/>
                <w:szCs w:val="24"/>
              </w:rPr>
            </w:pPr>
            <w:r>
              <w:rPr>
                <w:sz w:val="24"/>
                <w:szCs w:val="24"/>
              </w:rPr>
              <w:t>Reporting</w:t>
            </w:r>
          </w:p>
        </w:tc>
        <w:tc>
          <w:tcPr>
            <w:tcW w:w="1350" w:type="dxa"/>
          </w:tcPr>
          <w:p w14:paraId="18CF3906" w14:textId="362B6067" w:rsidR="00785D1E" w:rsidRDefault="00785D1E" w:rsidP="00AF620B">
            <w:pPr>
              <w:pStyle w:val="BodyText2"/>
              <w:rPr>
                <w:sz w:val="24"/>
                <w:szCs w:val="24"/>
              </w:rPr>
            </w:pPr>
            <w:r>
              <w:rPr>
                <w:sz w:val="24"/>
                <w:szCs w:val="24"/>
              </w:rPr>
              <w:t>Benchmark</w:t>
            </w:r>
          </w:p>
        </w:tc>
        <w:tc>
          <w:tcPr>
            <w:tcW w:w="1350" w:type="dxa"/>
          </w:tcPr>
          <w:p w14:paraId="60CB48F6" w14:textId="391E2EBA" w:rsidR="00785D1E" w:rsidRDefault="00785D1E" w:rsidP="00AF620B">
            <w:pPr>
              <w:pStyle w:val="BodyText2"/>
              <w:rPr>
                <w:sz w:val="24"/>
                <w:szCs w:val="24"/>
              </w:rPr>
            </w:pPr>
            <w:r>
              <w:rPr>
                <w:sz w:val="24"/>
                <w:szCs w:val="24"/>
              </w:rPr>
              <w:t>Benchmark</w:t>
            </w:r>
          </w:p>
        </w:tc>
        <w:tc>
          <w:tcPr>
            <w:tcW w:w="1350" w:type="dxa"/>
          </w:tcPr>
          <w:p w14:paraId="71BADE87" w14:textId="42D63EE6" w:rsidR="00785D1E" w:rsidRDefault="00785D1E" w:rsidP="00C666F5">
            <w:pPr>
              <w:pStyle w:val="BodyText2"/>
              <w:rPr>
                <w:sz w:val="24"/>
                <w:szCs w:val="24"/>
              </w:rPr>
            </w:pPr>
            <w:r>
              <w:rPr>
                <w:sz w:val="24"/>
                <w:szCs w:val="24"/>
              </w:rPr>
              <w:t>Retired</w:t>
            </w:r>
          </w:p>
        </w:tc>
        <w:tc>
          <w:tcPr>
            <w:tcW w:w="1350" w:type="dxa"/>
          </w:tcPr>
          <w:p w14:paraId="28F7E717" w14:textId="71D85D66" w:rsidR="00785D1E" w:rsidRDefault="00785D1E" w:rsidP="00AF620B">
            <w:pPr>
              <w:pStyle w:val="BodyText2"/>
              <w:rPr>
                <w:sz w:val="24"/>
                <w:szCs w:val="24"/>
              </w:rPr>
            </w:pPr>
            <w:r>
              <w:rPr>
                <w:sz w:val="24"/>
                <w:szCs w:val="24"/>
              </w:rPr>
              <w:t>Retired</w:t>
            </w:r>
          </w:p>
        </w:tc>
        <w:tc>
          <w:tcPr>
            <w:tcW w:w="1350" w:type="dxa"/>
          </w:tcPr>
          <w:p w14:paraId="4969358C" w14:textId="3EAF7A3D" w:rsidR="00785D1E" w:rsidRDefault="00785D1E" w:rsidP="00C666F5">
            <w:pPr>
              <w:pStyle w:val="BodyText2"/>
              <w:rPr>
                <w:sz w:val="24"/>
                <w:szCs w:val="24"/>
              </w:rPr>
            </w:pPr>
            <w:r>
              <w:rPr>
                <w:sz w:val="24"/>
                <w:szCs w:val="24"/>
              </w:rPr>
              <w:t xml:space="preserve">Retired </w:t>
            </w:r>
          </w:p>
        </w:tc>
        <w:tc>
          <w:tcPr>
            <w:tcW w:w="1350" w:type="dxa"/>
          </w:tcPr>
          <w:p w14:paraId="6319DB54" w14:textId="2707F580" w:rsidR="00785D1E" w:rsidRDefault="003638D6" w:rsidP="00C666F5">
            <w:pPr>
              <w:pStyle w:val="BodyText2"/>
              <w:rPr>
                <w:sz w:val="24"/>
                <w:szCs w:val="24"/>
              </w:rPr>
            </w:pPr>
            <w:r>
              <w:rPr>
                <w:sz w:val="24"/>
                <w:szCs w:val="24"/>
              </w:rPr>
              <w:t>Retired</w:t>
            </w:r>
          </w:p>
        </w:tc>
        <w:tc>
          <w:tcPr>
            <w:tcW w:w="1350" w:type="dxa"/>
          </w:tcPr>
          <w:p w14:paraId="6D31D656" w14:textId="2BCA4028" w:rsidR="00785D1E" w:rsidRDefault="0049132A" w:rsidP="00C666F5">
            <w:pPr>
              <w:pStyle w:val="BodyText2"/>
              <w:rPr>
                <w:sz w:val="24"/>
                <w:szCs w:val="24"/>
              </w:rPr>
            </w:pPr>
            <w:r>
              <w:rPr>
                <w:sz w:val="24"/>
                <w:szCs w:val="24"/>
              </w:rPr>
              <w:t xml:space="preserve">Retired </w:t>
            </w:r>
          </w:p>
        </w:tc>
      </w:tr>
      <w:tr w:rsidR="0049132A" w14:paraId="1BF12CE2" w14:textId="2BF88D11" w:rsidTr="00640313">
        <w:tc>
          <w:tcPr>
            <w:tcW w:w="1170" w:type="dxa"/>
          </w:tcPr>
          <w:p w14:paraId="5571B389" w14:textId="7561EF0E" w:rsidR="0049132A" w:rsidRDefault="0049132A" w:rsidP="0049132A">
            <w:pPr>
              <w:pStyle w:val="BodyText2"/>
              <w:rPr>
                <w:sz w:val="24"/>
                <w:szCs w:val="24"/>
              </w:rPr>
            </w:pPr>
            <w:r>
              <w:rPr>
                <w:sz w:val="24"/>
                <w:szCs w:val="24"/>
              </w:rPr>
              <w:t>B.2</w:t>
            </w:r>
          </w:p>
        </w:tc>
        <w:tc>
          <w:tcPr>
            <w:tcW w:w="1530" w:type="dxa"/>
          </w:tcPr>
          <w:p w14:paraId="06017B1F" w14:textId="346F3834" w:rsidR="0049132A" w:rsidRPr="00AF620B" w:rsidRDefault="0049132A" w:rsidP="0049132A">
            <w:pPr>
              <w:pStyle w:val="BodyText2"/>
              <w:rPr>
                <w:sz w:val="24"/>
                <w:szCs w:val="24"/>
              </w:rPr>
            </w:pPr>
            <w:r w:rsidRPr="00AF620B">
              <w:rPr>
                <w:sz w:val="24"/>
              </w:rPr>
              <w:t xml:space="preserve">Training: Delivery of standardized state training for Health Home Care </w:t>
            </w:r>
            <w:r w:rsidRPr="00AF620B">
              <w:rPr>
                <w:sz w:val="24"/>
              </w:rPr>
              <w:lastRenderedPageBreak/>
              <w:t>Coordinators on the Health Action Plan</w:t>
            </w:r>
          </w:p>
        </w:tc>
        <w:tc>
          <w:tcPr>
            <w:tcW w:w="1260" w:type="dxa"/>
          </w:tcPr>
          <w:p w14:paraId="01DCFA68" w14:textId="4AE865C5" w:rsidR="0049132A" w:rsidRDefault="0049132A" w:rsidP="0049132A">
            <w:pPr>
              <w:pStyle w:val="BodyText2"/>
              <w:rPr>
                <w:sz w:val="24"/>
                <w:szCs w:val="24"/>
              </w:rPr>
            </w:pPr>
            <w:r>
              <w:rPr>
                <w:sz w:val="24"/>
                <w:szCs w:val="24"/>
              </w:rPr>
              <w:lastRenderedPageBreak/>
              <w:t>Reporting</w:t>
            </w:r>
          </w:p>
        </w:tc>
        <w:tc>
          <w:tcPr>
            <w:tcW w:w="1350" w:type="dxa"/>
          </w:tcPr>
          <w:p w14:paraId="157F065B" w14:textId="6AF48C97" w:rsidR="0049132A" w:rsidRDefault="0049132A" w:rsidP="0049132A">
            <w:pPr>
              <w:pStyle w:val="BodyText2"/>
              <w:rPr>
                <w:sz w:val="24"/>
                <w:szCs w:val="24"/>
              </w:rPr>
            </w:pPr>
            <w:r>
              <w:rPr>
                <w:sz w:val="24"/>
                <w:szCs w:val="24"/>
              </w:rPr>
              <w:t>Benchmark</w:t>
            </w:r>
          </w:p>
        </w:tc>
        <w:tc>
          <w:tcPr>
            <w:tcW w:w="1350" w:type="dxa"/>
          </w:tcPr>
          <w:p w14:paraId="452388BC" w14:textId="41AAF598" w:rsidR="0049132A" w:rsidRDefault="0049132A" w:rsidP="0049132A">
            <w:pPr>
              <w:pStyle w:val="BodyText2"/>
              <w:rPr>
                <w:sz w:val="24"/>
                <w:szCs w:val="24"/>
              </w:rPr>
            </w:pPr>
            <w:r>
              <w:rPr>
                <w:sz w:val="24"/>
                <w:szCs w:val="24"/>
              </w:rPr>
              <w:t>Benchmark</w:t>
            </w:r>
          </w:p>
        </w:tc>
        <w:tc>
          <w:tcPr>
            <w:tcW w:w="1350" w:type="dxa"/>
          </w:tcPr>
          <w:p w14:paraId="7F415D33" w14:textId="569C9325" w:rsidR="0049132A" w:rsidRDefault="0049132A" w:rsidP="0049132A">
            <w:pPr>
              <w:pStyle w:val="BodyText2"/>
              <w:rPr>
                <w:sz w:val="24"/>
                <w:szCs w:val="24"/>
              </w:rPr>
            </w:pPr>
            <w:r>
              <w:rPr>
                <w:sz w:val="24"/>
                <w:szCs w:val="24"/>
              </w:rPr>
              <w:t>Benchmark</w:t>
            </w:r>
          </w:p>
        </w:tc>
        <w:tc>
          <w:tcPr>
            <w:tcW w:w="1350" w:type="dxa"/>
          </w:tcPr>
          <w:p w14:paraId="09A1639E" w14:textId="4FC5E4DB" w:rsidR="0049132A" w:rsidRDefault="0049132A" w:rsidP="0049132A">
            <w:pPr>
              <w:pStyle w:val="BodyText2"/>
              <w:rPr>
                <w:sz w:val="24"/>
                <w:szCs w:val="24"/>
              </w:rPr>
            </w:pPr>
            <w:r>
              <w:rPr>
                <w:sz w:val="24"/>
                <w:szCs w:val="24"/>
              </w:rPr>
              <w:t>Benchmark</w:t>
            </w:r>
          </w:p>
        </w:tc>
        <w:tc>
          <w:tcPr>
            <w:tcW w:w="1350" w:type="dxa"/>
          </w:tcPr>
          <w:p w14:paraId="0F776211" w14:textId="75E98D68" w:rsidR="0049132A" w:rsidRDefault="0049132A" w:rsidP="0049132A">
            <w:pPr>
              <w:pStyle w:val="BodyText2"/>
              <w:rPr>
                <w:sz w:val="24"/>
                <w:szCs w:val="24"/>
              </w:rPr>
            </w:pPr>
            <w:r>
              <w:rPr>
                <w:sz w:val="24"/>
                <w:szCs w:val="24"/>
              </w:rPr>
              <w:t>Benchmark</w:t>
            </w:r>
          </w:p>
        </w:tc>
        <w:tc>
          <w:tcPr>
            <w:tcW w:w="1350" w:type="dxa"/>
          </w:tcPr>
          <w:p w14:paraId="7036D00A" w14:textId="77777777" w:rsidR="001B5AD8" w:rsidRPr="0041676F" w:rsidRDefault="0049132A" w:rsidP="0049132A">
            <w:pPr>
              <w:pStyle w:val="BodyText2"/>
              <w:rPr>
                <w:sz w:val="24"/>
                <w:szCs w:val="24"/>
              </w:rPr>
            </w:pPr>
            <w:r w:rsidRPr="0041676F">
              <w:rPr>
                <w:sz w:val="24"/>
                <w:szCs w:val="24"/>
              </w:rPr>
              <w:t>Reporting (PHE)</w:t>
            </w:r>
          </w:p>
          <w:p w14:paraId="71F9EC75" w14:textId="7DA229A9" w:rsidR="0049132A" w:rsidRPr="0041676F" w:rsidRDefault="0049132A" w:rsidP="0049132A">
            <w:pPr>
              <w:pStyle w:val="BodyText2"/>
              <w:rPr>
                <w:sz w:val="24"/>
                <w:szCs w:val="24"/>
              </w:rPr>
            </w:pPr>
          </w:p>
        </w:tc>
        <w:tc>
          <w:tcPr>
            <w:tcW w:w="1350" w:type="dxa"/>
          </w:tcPr>
          <w:p w14:paraId="07557C51" w14:textId="6436D7F6" w:rsidR="0049132A" w:rsidRPr="0041676F" w:rsidRDefault="00997972" w:rsidP="00624044">
            <w:pPr>
              <w:pStyle w:val="BodyText2"/>
              <w:tabs>
                <w:tab w:val="left" w:pos="881"/>
              </w:tabs>
              <w:rPr>
                <w:sz w:val="24"/>
                <w:szCs w:val="24"/>
              </w:rPr>
            </w:pPr>
            <w:r w:rsidRPr="0041676F">
              <w:rPr>
                <w:sz w:val="24"/>
                <w:szCs w:val="24"/>
              </w:rPr>
              <w:t>Reporting (PHE)</w:t>
            </w:r>
          </w:p>
        </w:tc>
        <w:tc>
          <w:tcPr>
            <w:tcW w:w="1350" w:type="dxa"/>
          </w:tcPr>
          <w:p w14:paraId="79488756" w14:textId="6447A031" w:rsidR="0049132A" w:rsidRPr="0041676F" w:rsidRDefault="0049132A" w:rsidP="0049132A">
            <w:pPr>
              <w:pStyle w:val="BodyText2"/>
              <w:rPr>
                <w:sz w:val="24"/>
                <w:szCs w:val="24"/>
              </w:rPr>
            </w:pPr>
            <w:r w:rsidRPr="0041676F">
              <w:rPr>
                <w:sz w:val="24"/>
                <w:szCs w:val="24"/>
              </w:rPr>
              <w:t>Benchmark</w:t>
            </w:r>
          </w:p>
        </w:tc>
      </w:tr>
      <w:tr w:rsidR="0049132A" w14:paraId="775B8498" w14:textId="6E7CD6FD" w:rsidTr="00640313">
        <w:tc>
          <w:tcPr>
            <w:tcW w:w="1170" w:type="dxa"/>
            <w:tcBorders>
              <w:bottom w:val="single" w:sz="4" w:space="0" w:color="auto"/>
            </w:tcBorders>
          </w:tcPr>
          <w:p w14:paraId="0E538EA1" w14:textId="491CDF53" w:rsidR="0049132A" w:rsidRDefault="0049132A" w:rsidP="0049132A">
            <w:pPr>
              <w:pStyle w:val="BodyText2"/>
              <w:rPr>
                <w:sz w:val="24"/>
                <w:szCs w:val="24"/>
              </w:rPr>
            </w:pPr>
            <w:r>
              <w:rPr>
                <w:sz w:val="24"/>
                <w:szCs w:val="24"/>
              </w:rPr>
              <w:t>B.3</w:t>
            </w:r>
          </w:p>
        </w:tc>
        <w:tc>
          <w:tcPr>
            <w:tcW w:w="1530" w:type="dxa"/>
            <w:tcBorders>
              <w:bottom w:val="single" w:sz="4" w:space="0" w:color="auto"/>
            </w:tcBorders>
          </w:tcPr>
          <w:p w14:paraId="369376A1" w14:textId="0F35DFEE" w:rsidR="0049132A" w:rsidRPr="00AF620B" w:rsidRDefault="0049132A" w:rsidP="0049132A">
            <w:pPr>
              <w:pStyle w:val="BodyText2"/>
              <w:rPr>
                <w:sz w:val="24"/>
                <w:szCs w:val="24"/>
              </w:rPr>
            </w:pPr>
            <w:r w:rsidRPr="00AF620B">
              <w:rPr>
                <w:sz w:val="24"/>
              </w:rPr>
              <w:t>Discharge Follow-up: Percentage of demonstration-eligible beneficiaries with 30 days between hospital discharge to first follow-up visit</w:t>
            </w:r>
          </w:p>
        </w:tc>
        <w:tc>
          <w:tcPr>
            <w:tcW w:w="1260" w:type="dxa"/>
            <w:tcBorders>
              <w:bottom w:val="single" w:sz="4" w:space="0" w:color="auto"/>
            </w:tcBorders>
          </w:tcPr>
          <w:p w14:paraId="523AC48C" w14:textId="50952349"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33930255" w14:textId="06A3E074"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29CD37B2" w14:textId="65C13B96"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40DE5FB6" w14:textId="4117DE61"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2E0A9DDD" w14:textId="4BBB16DD"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6856EB78" w14:textId="6368FE24"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1C6FB023" w14:textId="77777777" w:rsidR="001B5AD8" w:rsidRPr="0041676F" w:rsidRDefault="0049132A" w:rsidP="0049132A">
            <w:pPr>
              <w:pStyle w:val="BodyText2"/>
              <w:rPr>
                <w:sz w:val="24"/>
                <w:szCs w:val="24"/>
              </w:rPr>
            </w:pPr>
            <w:r w:rsidRPr="0041676F">
              <w:rPr>
                <w:sz w:val="24"/>
                <w:szCs w:val="24"/>
              </w:rPr>
              <w:t>Reporting (PHE)</w:t>
            </w:r>
          </w:p>
          <w:p w14:paraId="69943FAB" w14:textId="6AFF0068" w:rsidR="0049132A" w:rsidRPr="0041676F" w:rsidRDefault="0049132A" w:rsidP="0049132A">
            <w:pPr>
              <w:pStyle w:val="BodyText2"/>
              <w:rPr>
                <w:sz w:val="24"/>
                <w:szCs w:val="24"/>
              </w:rPr>
            </w:pPr>
          </w:p>
        </w:tc>
        <w:tc>
          <w:tcPr>
            <w:tcW w:w="1350" w:type="dxa"/>
            <w:tcBorders>
              <w:bottom w:val="single" w:sz="4" w:space="0" w:color="auto"/>
            </w:tcBorders>
          </w:tcPr>
          <w:p w14:paraId="06E57B1C" w14:textId="7761F003" w:rsidR="0049132A" w:rsidRPr="0041676F" w:rsidRDefault="00997972" w:rsidP="0049132A">
            <w:pPr>
              <w:pStyle w:val="BodyText2"/>
              <w:rPr>
                <w:sz w:val="24"/>
                <w:szCs w:val="24"/>
              </w:rPr>
            </w:pPr>
            <w:r w:rsidRPr="0041676F">
              <w:rPr>
                <w:sz w:val="24"/>
                <w:szCs w:val="24"/>
              </w:rPr>
              <w:t>Reporting (PHE)</w:t>
            </w:r>
          </w:p>
        </w:tc>
        <w:tc>
          <w:tcPr>
            <w:tcW w:w="1350" w:type="dxa"/>
            <w:tcBorders>
              <w:bottom w:val="single" w:sz="4" w:space="0" w:color="auto"/>
            </w:tcBorders>
          </w:tcPr>
          <w:p w14:paraId="4650A5B7" w14:textId="1985428F" w:rsidR="0049132A" w:rsidRPr="0041676F" w:rsidRDefault="0049132A" w:rsidP="0049132A">
            <w:pPr>
              <w:pStyle w:val="BodyText2"/>
              <w:rPr>
                <w:sz w:val="24"/>
                <w:szCs w:val="24"/>
              </w:rPr>
            </w:pPr>
            <w:r w:rsidRPr="0041676F">
              <w:rPr>
                <w:sz w:val="24"/>
                <w:szCs w:val="24"/>
              </w:rPr>
              <w:t>Benchmark</w:t>
            </w:r>
          </w:p>
        </w:tc>
      </w:tr>
      <w:tr w:rsidR="001B5AD8" w14:paraId="22C40611" w14:textId="1EF2366C" w:rsidTr="00640313">
        <w:tc>
          <w:tcPr>
            <w:tcW w:w="14760" w:type="dxa"/>
            <w:gridSpan w:val="11"/>
            <w:shd w:val="clear" w:color="auto" w:fill="F2F2F2" w:themeFill="background1" w:themeFillShade="F2"/>
          </w:tcPr>
          <w:p w14:paraId="4D1E9803" w14:textId="34BB75DE" w:rsidR="001B5AD8" w:rsidRDefault="001B5AD8" w:rsidP="00AF620B">
            <w:pPr>
              <w:pStyle w:val="BodyText2"/>
              <w:rPr>
                <w:sz w:val="24"/>
                <w:szCs w:val="24"/>
              </w:rPr>
            </w:pPr>
            <w:r w:rsidRPr="00D652B3">
              <w:rPr>
                <w:b/>
                <w:sz w:val="24"/>
                <w:szCs w:val="24"/>
              </w:rPr>
              <w:t>State-Specific Demonstration Measures</w:t>
            </w:r>
          </w:p>
        </w:tc>
      </w:tr>
      <w:tr w:rsidR="0049132A" w14:paraId="747A9113" w14:textId="29BA8F92" w:rsidTr="00640313">
        <w:tc>
          <w:tcPr>
            <w:tcW w:w="1170" w:type="dxa"/>
          </w:tcPr>
          <w:p w14:paraId="5529767E" w14:textId="59D8BCF4" w:rsidR="0049132A" w:rsidRDefault="0049132A" w:rsidP="0049132A">
            <w:pPr>
              <w:pStyle w:val="BodyText2"/>
              <w:rPr>
                <w:sz w:val="24"/>
                <w:szCs w:val="24"/>
              </w:rPr>
            </w:pPr>
            <w:r>
              <w:rPr>
                <w:sz w:val="24"/>
                <w:szCs w:val="24"/>
              </w:rPr>
              <w:t>C.1</w:t>
            </w:r>
          </w:p>
        </w:tc>
        <w:tc>
          <w:tcPr>
            <w:tcW w:w="1530" w:type="dxa"/>
          </w:tcPr>
          <w:p w14:paraId="32B3A215" w14:textId="31521152" w:rsidR="0049132A" w:rsidRPr="00AF620B" w:rsidRDefault="0049132A" w:rsidP="0049132A">
            <w:pPr>
              <w:pStyle w:val="BodyText2"/>
              <w:rPr>
                <w:sz w:val="24"/>
                <w:szCs w:val="24"/>
              </w:rPr>
            </w:pPr>
            <w:r w:rsidRPr="00AF620B">
              <w:rPr>
                <w:sz w:val="24"/>
              </w:rPr>
              <w:t xml:space="preserve">Average change in Patient Activation Measure (PAM) score for participating Medicare-Medicaid Enrollees who initially </w:t>
            </w:r>
            <w:r w:rsidRPr="00AF620B">
              <w:rPr>
                <w:sz w:val="24"/>
              </w:rPr>
              <w:lastRenderedPageBreak/>
              <w:t>were least activated</w:t>
            </w:r>
          </w:p>
        </w:tc>
        <w:tc>
          <w:tcPr>
            <w:tcW w:w="1260" w:type="dxa"/>
          </w:tcPr>
          <w:p w14:paraId="305DBF18" w14:textId="30C840DC" w:rsidR="0049132A" w:rsidRDefault="0049132A" w:rsidP="0049132A">
            <w:pPr>
              <w:pStyle w:val="BodyText2"/>
              <w:rPr>
                <w:sz w:val="24"/>
                <w:szCs w:val="24"/>
              </w:rPr>
            </w:pPr>
            <w:r>
              <w:rPr>
                <w:sz w:val="24"/>
                <w:szCs w:val="24"/>
              </w:rPr>
              <w:lastRenderedPageBreak/>
              <w:t>Reporting</w:t>
            </w:r>
          </w:p>
        </w:tc>
        <w:tc>
          <w:tcPr>
            <w:tcW w:w="1350" w:type="dxa"/>
          </w:tcPr>
          <w:p w14:paraId="1778CFCB" w14:textId="0F6BFEDA" w:rsidR="0049132A" w:rsidRDefault="0049132A" w:rsidP="0049132A">
            <w:pPr>
              <w:pStyle w:val="BodyText2"/>
              <w:rPr>
                <w:sz w:val="24"/>
                <w:szCs w:val="24"/>
              </w:rPr>
            </w:pPr>
            <w:r>
              <w:rPr>
                <w:sz w:val="24"/>
                <w:szCs w:val="24"/>
              </w:rPr>
              <w:t>Benchmark</w:t>
            </w:r>
          </w:p>
        </w:tc>
        <w:tc>
          <w:tcPr>
            <w:tcW w:w="1350" w:type="dxa"/>
          </w:tcPr>
          <w:p w14:paraId="10C84A95" w14:textId="3D1CB1C9" w:rsidR="0049132A" w:rsidRDefault="0049132A" w:rsidP="0049132A">
            <w:pPr>
              <w:pStyle w:val="BodyText2"/>
              <w:rPr>
                <w:sz w:val="24"/>
                <w:szCs w:val="24"/>
              </w:rPr>
            </w:pPr>
            <w:r>
              <w:rPr>
                <w:sz w:val="24"/>
                <w:szCs w:val="24"/>
              </w:rPr>
              <w:t>Benchmark</w:t>
            </w:r>
          </w:p>
        </w:tc>
        <w:tc>
          <w:tcPr>
            <w:tcW w:w="1350" w:type="dxa"/>
          </w:tcPr>
          <w:p w14:paraId="6EE1F391" w14:textId="10DD3587" w:rsidR="0049132A" w:rsidRDefault="0049132A" w:rsidP="0049132A">
            <w:pPr>
              <w:pStyle w:val="BodyText2"/>
              <w:rPr>
                <w:sz w:val="24"/>
                <w:szCs w:val="24"/>
              </w:rPr>
            </w:pPr>
            <w:r>
              <w:rPr>
                <w:sz w:val="24"/>
                <w:szCs w:val="24"/>
              </w:rPr>
              <w:t>Benchmark</w:t>
            </w:r>
          </w:p>
        </w:tc>
        <w:tc>
          <w:tcPr>
            <w:tcW w:w="1350" w:type="dxa"/>
          </w:tcPr>
          <w:p w14:paraId="6D49FFC7" w14:textId="115B36CA" w:rsidR="0049132A" w:rsidRDefault="0049132A" w:rsidP="0049132A">
            <w:pPr>
              <w:pStyle w:val="BodyText2"/>
              <w:rPr>
                <w:sz w:val="24"/>
                <w:szCs w:val="24"/>
              </w:rPr>
            </w:pPr>
            <w:r>
              <w:rPr>
                <w:sz w:val="24"/>
                <w:szCs w:val="24"/>
              </w:rPr>
              <w:t>Benchmark</w:t>
            </w:r>
          </w:p>
        </w:tc>
        <w:tc>
          <w:tcPr>
            <w:tcW w:w="1350" w:type="dxa"/>
          </w:tcPr>
          <w:p w14:paraId="4AE66A1B" w14:textId="7351A671" w:rsidR="0049132A" w:rsidRDefault="0049132A" w:rsidP="0049132A">
            <w:pPr>
              <w:pStyle w:val="BodyText2"/>
              <w:rPr>
                <w:sz w:val="24"/>
                <w:szCs w:val="24"/>
              </w:rPr>
            </w:pPr>
            <w:r>
              <w:rPr>
                <w:sz w:val="24"/>
                <w:szCs w:val="24"/>
              </w:rPr>
              <w:t>Benchmark</w:t>
            </w:r>
          </w:p>
        </w:tc>
        <w:tc>
          <w:tcPr>
            <w:tcW w:w="1350" w:type="dxa"/>
          </w:tcPr>
          <w:p w14:paraId="04816E8C" w14:textId="14337B64" w:rsidR="0049132A" w:rsidRPr="0041676F" w:rsidRDefault="0049132A" w:rsidP="0049132A">
            <w:pPr>
              <w:pStyle w:val="BodyText2"/>
              <w:rPr>
                <w:sz w:val="24"/>
                <w:szCs w:val="24"/>
              </w:rPr>
            </w:pPr>
            <w:r w:rsidRPr="0041676F">
              <w:rPr>
                <w:sz w:val="24"/>
                <w:szCs w:val="24"/>
              </w:rPr>
              <w:t>Reporting (PHE)</w:t>
            </w:r>
          </w:p>
        </w:tc>
        <w:tc>
          <w:tcPr>
            <w:tcW w:w="1350" w:type="dxa"/>
          </w:tcPr>
          <w:p w14:paraId="349D8ECA" w14:textId="03418BFE" w:rsidR="0049132A" w:rsidRPr="0041676F" w:rsidRDefault="00997972" w:rsidP="0049132A">
            <w:pPr>
              <w:pStyle w:val="BodyText2"/>
              <w:rPr>
                <w:sz w:val="24"/>
                <w:szCs w:val="24"/>
              </w:rPr>
            </w:pPr>
            <w:r w:rsidRPr="0041676F">
              <w:rPr>
                <w:sz w:val="24"/>
                <w:szCs w:val="24"/>
              </w:rPr>
              <w:t>Reporting (PHE)</w:t>
            </w:r>
          </w:p>
        </w:tc>
        <w:tc>
          <w:tcPr>
            <w:tcW w:w="1350" w:type="dxa"/>
          </w:tcPr>
          <w:p w14:paraId="75229DC4" w14:textId="157F3723" w:rsidR="0049132A" w:rsidRPr="0041676F" w:rsidRDefault="0049132A" w:rsidP="0049132A">
            <w:pPr>
              <w:pStyle w:val="BodyText2"/>
              <w:rPr>
                <w:sz w:val="24"/>
                <w:szCs w:val="24"/>
              </w:rPr>
            </w:pPr>
            <w:r w:rsidRPr="0041676F">
              <w:rPr>
                <w:sz w:val="24"/>
                <w:szCs w:val="24"/>
              </w:rPr>
              <w:t>Benchmark</w:t>
            </w:r>
          </w:p>
        </w:tc>
      </w:tr>
      <w:tr w:rsidR="00785D1E" w14:paraId="4D97F682" w14:textId="4C0B5E37" w:rsidTr="00640313">
        <w:tc>
          <w:tcPr>
            <w:tcW w:w="1170" w:type="dxa"/>
          </w:tcPr>
          <w:p w14:paraId="562AE89D" w14:textId="6AD5D3C6" w:rsidR="00785D1E" w:rsidRDefault="00785D1E" w:rsidP="00AF620B">
            <w:pPr>
              <w:pStyle w:val="BodyText2"/>
              <w:rPr>
                <w:sz w:val="24"/>
                <w:szCs w:val="24"/>
              </w:rPr>
            </w:pPr>
            <w:r>
              <w:rPr>
                <w:sz w:val="24"/>
                <w:szCs w:val="24"/>
              </w:rPr>
              <w:t>C.2</w:t>
            </w:r>
          </w:p>
        </w:tc>
        <w:tc>
          <w:tcPr>
            <w:tcW w:w="1530" w:type="dxa"/>
          </w:tcPr>
          <w:p w14:paraId="472AC5F2" w14:textId="3B8133E8" w:rsidR="00785D1E" w:rsidRPr="00AF620B" w:rsidRDefault="00785D1E" w:rsidP="00A83A7D">
            <w:pPr>
              <w:pStyle w:val="BodyText2"/>
              <w:rPr>
                <w:sz w:val="24"/>
                <w:szCs w:val="24"/>
              </w:rPr>
            </w:pPr>
            <w:r w:rsidRPr="00AF620B">
              <w:rPr>
                <w:sz w:val="24"/>
              </w:rPr>
              <w:t>Percent of high-risk Medicare-Medicaid demonstration-eligible beneficiaries receiving community-based LTCSS</w:t>
            </w:r>
          </w:p>
        </w:tc>
        <w:tc>
          <w:tcPr>
            <w:tcW w:w="1260" w:type="dxa"/>
          </w:tcPr>
          <w:p w14:paraId="4EF8B8DE" w14:textId="0D6D125D" w:rsidR="00785D1E" w:rsidRDefault="00785D1E" w:rsidP="00AF620B">
            <w:pPr>
              <w:pStyle w:val="BodyText2"/>
              <w:rPr>
                <w:sz w:val="24"/>
                <w:szCs w:val="24"/>
              </w:rPr>
            </w:pPr>
            <w:r>
              <w:rPr>
                <w:sz w:val="24"/>
                <w:szCs w:val="24"/>
              </w:rPr>
              <w:t>Reporting</w:t>
            </w:r>
          </w:p>
        </w:tc>
        <w:tc>
          <w:tcPr>
            <w:tcW w:w="1350" w:type="dxa"/>
          </w:tcPr>
          <w:p w14:paraId="36D90254" w14:textId="109E7505" w:rsidR="00785D1E" w:rsidRDefault="00785D1E" w:rsidP="00AF620B">
            <w:pPr>
              <w:pStyle w:val="BodyText2"/>
              <w:rPr>
                <w:sz w:val="24"/>
                <w:szCs w:val="24"/>
              </w:rPr>
            </w:pPr>
            <w:r>
              <w:rPr>
                <w:sz w:val="24"/>
                <w:szCs w:val="24"/>
              </w:rPr>
              <w:t>Benchmark</w:t>
            </w:r>
          </w:p>
        </w:tc>
        <w:tc>
          <w:tcPr>
            <w:tcW w:w="1350" w:type="dxa"/>
          </w:tcPr>
          <w:p w14:paraId="3E3B16A6" w14:textId="49E52B9F" w:rsidR="00785D1E" w:rsidRDefault="00785D1E" w:rsidP="00AF620B">
            <w:pPr>
              <w:pStyle w:val="BodyText2"/>
              <w:rPr>
                <w:sz w:val="24"/>
                <w:szCs w:val="24"/>
              </w:rPr>
            </w:pPr>
            <w:r>
              <w:rPr>
                <w:sz w:val="24"/>
                <w:szCs w:val="24"/>
              </w:rPr>
              <w:t>Benchmark</w:t>
            </w:r>
          </w:p>
        </w:tc>
        <w:tc>
          <w:tcPr>
            <w:tcW w:w="1350" w:type="dxa"/>
          </w:tcPr>
          <w:p w14:paraId="7BE0B8BD" w14:textId="77C75298" w:rsidR="00785D1E" w:rsidRDefault="00785D1E" w:rsidP="00AF620B">
            <w:pPr>
              <w:pStyle w:val="BodyText2"/>
              <w:rPr>
                <w:sz w:val="24"/>
                <w:szCs w:val="24"/>
              </w:rPr>
            </w:pPr>
            <w:r>
              <w:rPr>
                <w:sz w:val="24"/>
                <w:szCs w:val="24"/>
              </w:rPr>
              <w:t>Benchmark</w:t>
            </w:r>
          </w:p>
        </w:tc>
        <w:tc>
          <w:tcPr>
            <w:tcW w:w="1350" w:type="dxa"/>
          </w:tcPr>
          <w:p w14:paraId="771C3413" w14:textId="43B6DA92" w:rsidR="00785D1E" w:rsidRDefault="00785D1E" w:rsidP="00AF620B">
            <w:pPr>
              <w:pStyle w:val="BodyText2"/>
              <w:rPr>
                <w:sz w:val="24"/>
                <w:szCs w:val="24"/>
              </w:rPr>
            </w:pPr>
            <w:r>
              <w:rPr>
                <w:sz w:val="24"/>
                <w:szCs w:val="24"/>
              </w:rPr>
              <w:t>Benchmark</w:t>
            </w:r>
          </w:p>
        </w:tc>
        <w:tc>
          <w:tcPr>
            <w:tcW w:w="1350" w:type="dxa"/>
          </w:tcPr>
          <w:p w14:paraId="1006C234" w14:textId="58EBEFB9" w:rsidR="00785D1E" w:rsidRDefault="00785D1E" w:rsidP="00AF620B">
            <w:pPr>
              <w:pStyle w:val="BodyText2"/>
              <w:rPr>
                <w:sz w:val="24"/>
                <w:szCs w:val="24"/>
              </w:rPr>
            </w:pPr>
            <w:r>
              <w:rPr>
                <w:sz w:val="24"/>
                <w:szCs w:val="24"/>
              </w:rPr>
              <w:t>Benchmark</w:t>
            </w:r>
          </w:p>
        </w:tc>
        <w:tc>
          <w:tcPr>
            <w:tcW w:w="1350" w:type="dxa"/>
          </w:tcPr>
          <w:p w14:paraId="124BBF64" w14:textId="77777777" w:rsidR="00DF24E9" w:rsidRPr="0041676F" w:rsidRDefault="0049132A" w:rsidP="00AF620B">
            <w:pPr>
              <w:pStyle w:val="BodyText2"/>
              <w:rPr>
                <w:sz w:val="24"/>
                <w:szCs w:val="24"/>
              </w:rPr>
            </w:pPr>
            <w:r w:rsidRPr="0041676F">
              <w:rPr>
                <w:sz w:val="24"/>
                <w:szCs w:val="24"/>
              </w:rPr>
              <w:t>Reporting (PHE)</w:t>
            </w:r>
          </w:p>
          <w:p w14:paraId="6E54FDC2" w14:textId="788D54B0" w:rsidR="00785D1E" w:rsidRPr="0041676F" w:rsidRDefault="00785D1E" w:rsidP="00AF620B">
            <w:pPr>
              <w:pStyle w:val="BodyText2"/>
              <w:rPr>
                <w:sz w:val="24"/>
                <w:szCs w:val="24"/>
              </w:rPr>
            </w:pPr>
          </w:p>
        </w:tc>
        <w:tc>
          <w:tcPr>
            <w:tcW w:w="1350" w:type="dxa"/>
          </w:tcPr>
          <w:p w14:paraId="70D6408E" w14:textId="04A44E24" w:rsidR="00785D1E" w:rsidRPr="0041676F" w:rsidRDefault="00997972" w:rsidP="00AF620B">
            <w:pPr>
              <w:pStyle w:val="BodyText2"/>
              <w:rPr>
                <w:sz w:val="24"/>
                <w:szCs w:val="24"/>
              </w:rPr>
            </w:pPr>
            <w:r w:rsidRPr="0041676F">
              <w:rPr>
                <w:sz w:val="24"/>
                <w:szCs w:val="24"/>
              </w:rPr>
              <w:t>Reporting (PHE)</w:t>
            </w:r>
          </w:p>
        </w:tc>
        <w:tc>
          <w:tcPr>
            <w:tcW w:w="1350" w:type="dxa"/>
          </w:tcPr>
          <w:p w14:paraId="6B2A411D" w14:textId="7E045876" w:rsidR="00785D1E" w:rsidRPr="0041676F" w:rsidRDefault="0049132A" w:rsidP="00AF620B">
            <w:pPr>
              <w:pStyle w:val="BodyText2"/>
              <w:rPr>
                <w:sz w:val="24"/>
                <w:szCs w:val="24"/>
              </w:rPr>
            </w:pPr>
            <w:r w:rsidRPr="0041676F">
              <w:rPr>
                <w:sz w:val="24"/>
                <w:szCs w:val="24"/>
              </w:rPr>
              <w:t>Benchmark</w:t>
            </w:r>
          </w:p>
        </w:tc>
      </w:tr>
      <w:tr w:rsidR="0049132A" w14:paraId="4888BD1D" w14:textId="4F10ED45" w:rsidTr="00640313">
        <w:tc>
          <w:tcPr>
            <w:tcW w:w="1170" w:type="dxa"/>
          </w:tcPr>
          <w:p w14:paraId="4E24A9D0" w14:textId="282A4BCA" w:rsidR="0049132A" w:rsidRPr="0041676F" w:rsidRDefault="0049132A" w:rsidP="0049132A">
            <w:pPr>
              <w:pStyle w:val="BodyText2"/>
              <w:rPr>
                <w:sz w:val="24"/>
                <w:szCs w:val="24"/>
              </w:rPr>
            </w:pPr>
            <w:r w:rsidRPr="0041676F">
              <w:rPr>
                <w:sz w:val="24"/>
                <w:szCs w:val="24"/>
              </w:rPr>
              <w:t>C.3</w:t>
            </w:r>
          </w:p>
        </w:tc>
        <w:tc>
          <w:tcPr>
            <w:tcW w:w="1530" w:type="dxa"/>
          </w:tcPr>
          <w:p w14:paraId="6F9371F7" w14:textId="66B10D24" w:rsidR="0049132A" w:rsidRPr="0041676F" w:rsidRDefault="0049132A" w:rsidP="0049132A">
            <w:pPr>
              <w:pStyle w:val="BodyText2"/>
              <w:rPr>
                <w:sz w:val="24"/>
                <w:szCs w:val="24"/>
              </w:rPr>
            </w:pPr>
            <w:r w:rsidRPr="0041676F">
              <w:rPr>
                <w:sz w:val="24"/>
              </w:rPr>
              <w:t>Percent of high-risk Medicare-Medicaid demonstration-eligible beneficiaries receiving institutional long term care services</w:t>
            </w:r>
          </w:p>
        </w:tc>
        <w:tc>
          <w:tcPr>
            <w:tcW w:w="1260" w:type="dxa"/>
          </w:tcPr>
          <w:p w14:paraId="06881608" w14:textId="2C66367B" w:rsidR="0049132A" w:rsidRPr="0041676F" w:rsidRDefault="0049132A" w:rsidP="0049132A">
            <w:pPr>
              <w:pStyle w:val="BodyText2"/>
              <w:rPr>
                <w:sz w:val="24"/>
                <w:szCs w:val="24"/>
              </w:rPr>
            </w:pPr>
            <w:r w:rsidRPr="0041676F">
              <w:rPr>
                <w:sz w:val="24"/>
                <w:szCs w:val="24"/>
              </w:rPr>
              <w:t>Reporting</w:t>
            </w:r>
          </w:p>
        </w:tc>
        <w:tc>
          <w:tcPr>
            <w:tcW w:w="1350" w:type="dxa"/>
          </w:tcPr>
          <w:p w14:paraId="2DC1E9C7" w14:textId="29FBF7D1" w:rsidR="0049132A" w:rsidRPr="0041676F" w:rsidRDefault="0049132A" w:rsidP="0049132A">
            <w:pPr>
              <w:pStyle w:val="BodyText2"/>
              <w:rPr>
                <w:sz w:val="24"/>
                <w:szCs w:val="24"/>
              </w:rPr>
            </w:pPr>
            <w:r w:rsidRPr="0041676F">
              <w:rPr>
                <w:sz w:val="24"/>
                <w:szCs w:val="24"/>
              </w:rPr>
              <w:t>Benchmark</w:t>
            </w:r>
          </w:p>
        </w:tc>
        <w:tc>
          <w:tcPr>
            <w:tcW w:w="1350" w:type="dxa"/>
          </w:tcPr>
          <w:p w14:paraId="03324BF7" w14:textId="425ECCD7" w:rsidR="0049132A" w:rsidRPr="0041676F" w:rsidRDefault="0049132A" w:rsidP="0049132A">
            <w:pPr>
              <w:pStyle w:val="BodyText2"/>
              <w:rPr>
                <w:sz w:val="24"/>
                <w:szCs w:val="24"/>
              </w:rPr>
            </w:pPr>
            <w:r w:rsidRPr="0041676F">
              <w:rPr>
                <w:sz w:val="24"/>
                <w:szCs w:val="24"/>
              </w:rPr>
              <w:t>Benchmark</w:t>
            </w:r>
          </w:p>
        </w:tc>
        <w:tc>
          <w:tcPr>
            <w:tcW w:w="1350" w:type="dxa"/>
          </w:tcPr>
          <w:p w14:paraId="3B98FFF3" w14:textId="34B87746" w:rsidR="0049132A" w:rsidRPr="0041676F" w:rsidRDefault="0049132A" w:rsidP="0049132A">
            <w:pPr>
              <w:pStyle w:val="BodyText2"/>
              <w:rPr>
                <w:sz w:val="24"/>
                <w:szCs w:val="24"/>
              </w:rPr>
            </w:pPr>
            <w:r w:rsidRPr="0041676F">
              <w:rPr>
                <w:sz w:val="24"/>
                <w:szCs w:val="24"/>
              </w:rPr>
              <w:t>Benchmark</w:t>
            </w:r>
          </w:p>
        </w:tc>
        <w:tc>
          <w:tcPr>
            <w:tcW w:w="1350" w:type="dxa"/>
          </w:tcPr>
          <w:p w14:paraId="779FD01D" w14:textId="23C47B31" w:rsidR="0049132A" w:rsidRPr="0041676F" w:rsidRDefault="0049132A" w:rsidP="0049132A">
            <w:pPr>
              <w:pStyle w:val="BodyText2"/>
              <w:rPr>
                <w:sz w:val="24"/>
                <w:szCs w:val="24"/>
              </w:rPr>
            </w:pPr>
            <w:r w:rsidRPr="0041676F">
              <w:rPr>
                <w:sz w:val="24"/>
                <w:szCs w:val="24"/>
              </w:rPr>
              <w:t>Benchmark</w:t>
            </w:r>
          </w:p>
        </w:tc>
        <w:tc>
          <w:tcPr>
            <w:tcW w:w="1350" w:type="dxa"/>
          </w:tcPr>
          <w:p w14:paraId="48FFDA47" w14:textId="6E58807E" w:rsidR="0049132A" w:rsidRPr="0041676F" w:rsidRDefault="0049132A" w:rsidP="0049132A">
            <w:pPr>
              <w:pStyle w:val="BodyText2"/>
              <w:rPr>
                <w:sz w:val="24"/>
                <w:szCs w:val="24"/>
              </w:rPr>
            </w:pPr>
            <w:r w:rsidRPr="0041676F">
              <w:rPr>
                <w:sz w:val="24"/>
                <w:szCs w:val="24"/>
              </w:rPr>
              <w:t>Benchmark</w:t>
            </w:r>
          </w:p>
        </w:tc>
        <w:tc>
          <w:tcPr>
            <w:tcW w:w="1350" w:type="dxa"/>
          </w:tcPr>
          <w:p w14:paraId="1A65A572" w14:textId="1D5FC331" w:rsidR="0049132A" w:rsidRPr="0041676F" w:rsidRDefault="0049132A" w:rsidP="0049132A">
            <w:pPr>
              <w:pStyle w:val="BodyText2"/>
              <w:rPr>
                <w:sz w:val="24"/>
                <w:szCs w:val="24"/>
              </w:rPr>
            </w:pPr>
            <w:r w:rsidRPr="0041676F">
              <w:rPr>
                <w:sz w:val="24"/>
                <w:szCs w:val="24"/>
              </w:rPr>
              <w:t>Reporting (PHE)</w:t>
            </w:r>
          </w:p>
        </w:tc>
        <w:tc>
          <w:tcPr>
            <w:tcW w:w="1350" w:type="dxa"/>
          </w:tcPr>
          <w:p w14:paraId="0E1216A4" w14:textId="2E567DC5" w:rsidR="0049132A" w:rsidRPr="0041676F" w:rsidRDefault="00997972" w:rsidP="0049132A">
            <w:pPr>
              <w:pStyle w:val="BodyText2"/>
              <w:rPr>
                <w:sz w:val="24"/>
                <w:szCs w:val="24"/>
              </w:rPr>
            </w:pPr>
            <w:r w:rsidRPr="0041676F">
              <w:rPr>
                <w:sz w:val="24"/>
                <w:szCs w:val="24"/>
              </w:rPr>
              <w:t>Reporting (PHE)</w:t>
            </w:r>
          </w:p>
        </w:tc>
        <w:tc>
          <w:tcPr>
            <w:tcW w:w="1350" w:type="dxa"/>
          </w:tcPr>
          <w:p w14:paraId="576B5418" w14:textId="39541B51" w:rsidR="0049132A" w:rsidRPr="0041676F" w:rsidRDefault="0049132A" w:rsidP="0049132A">
            <w:pPr>
              <w:pStyle w:val="BodyText2"/>
              <w:rPr>
                <w:sz w:val="24"/>
                <w:szCs w:val="24"/>
              </w:rPr>
            </w:pPr>
            <w:r w:rsidRPr="0041676F">
              <w:rPr>
                <w:sz w:val="24"/>
                <w:szCs w:val="24"/>
              </w:rPr>
              <w:t>Benchmark</w:t>
            </w:r>
          </w:p>
        </w:tc>
      </w:tr>
      <w:tr w:rsidR="00785D1E" w14:paraId="4F4DCF4C" w14:textId="77777777" w:rsidTr="00640313">
        <w:tc>
          <w:tcPr>
            <w:tcW w:w="1170" w:type="dxa"/>
          </w:tcPr>
          <w:p w14:paraId="7077865B" w14:textId="3921B675" w:rsidR="00785D1E" w:rsidRPr="0041676F" w:rsidRDefault="00785D1E" w:rsidP="00785D1E">
            <w:pPr>
              <w:pStyle w:val="BodyText2"/>
              <w:rPr>
                <w:sz w:val="24"/>
                <w:szCs w:val="24"/>
              </w:rPr>
            </w:pPr>
            <w:r w:rsidRPr="0041676F">
              <w:rPr>
                <w:sz w:val="24"/>
                <w:szCs w:val="24"/>
              </w:rPr>
              <w:t>C.4</w:t>
            </w:r>
          </w:p>
        </w:tc>
        <w:tc>
          <w:tcPr>
            <w:tcW w:w="1530" w:type="dxa"/>
          </w:tcPr>
          <w:p w14:paraId="346A4F8A" w14:textId="4D3F32CA" w:rsidR="00785D1E" w:rsidRPr="0041676F" w:rsidRDefault="00785D1E" w:rsidP="001B5AD8">
            <w:pPr>
              <w:pStyle w:val="BodyText2"/>
              <w:rPr>
                <w:sz w:val="24"/>
              </w:rPr>
            </w:pPr>
            <w:r w:rsidRPr="0041676F">
              <w:rPr>
                <w:sz w:val="24"/>
              </w:rPr>
              <w:t>Percent of high-risk Medicare-Medicaid demonstratio</w:t>
            </w:r>
            <w:r w:rsidRPr="0041676F">
              <w:rPr>
                <w:sz w:val="24"/>
              </w:rPr>
              <w:lastRenderedPageBreak/>
              <w:t>n eligible beneficiaries who were homeless in a least one month in</w:t>
            </w:r>
            <w:r w:rsidR="001B5AD8" w:rsidRPr="0041676F">
              <w:rPr>
                <w:sz w:val="24"/>
              </w:rPr>
              <w:t xml:space="preserve"> t</w:t>
            </w:r>
            <w:r w:rsidRPr="0041676F">
              <w:rPr>
                <w:sz w:val="24"/>
              </w:rPr>
              <w:t>h</w:t>
            </w:r>
            <w:r w:rsidR="001B5AD8" w:rsidRPr="0041676F">
              <w:rPr>
                <w:sz w:val="24"/>
              </w:rPr>
              <w:t>e</w:t>
            </w:r>
            <w:r w:rsidRPr="0041676F">
              <w:rPr>
                <w:sz w:val="24"/>
              </w:rPr>
              <w:t xml:space="preserve"> measurement year</w:t>
            </w:r>
            <w:r w:rsidR="001B5AD8" w:rsidRPr="0041676F">
              <w:rPr>
                <w:sz w:val="24"/>
                <w:vertAlign w:val="superscript"/>
              </w:rPr>
              <w:t>7</w:t>
            </w:r>
          </w:p>
        </w:tc>
        <w:tc>
          <w:tcPr>
            <w:tcW w:w="1260" w:type="dxa"/>
          </w:tcPr>
          <w:p w14:paraId="6D7A2BFC" w14:textId="72FEA603" w:rsidR="00785D1E" w:rsidRPr="0041676F" w:rsidRDefault="00785D1E" w:rsidP="00785D1E">
            <w:pPr>
              <w:pStyle w:val="BodyText2"/>
              <w:rPr>
                <w:sz w:val="24"/>
                <w:szCs w:val="24"/>
              </w:rPr>
            </w:pPr>
            <w:r w:rsidRPr="0041676F">
              <w:rPr>
                <w:sz w:val="24"/>
                <w:szCs w:val="24"/>
              </w:rPr>
              <w:lastRenderedPageBreak/>
              <w:t>Not Reported</w:t>
            </w:r>
          </w:p>
        </w:tc>
        <w:tc>
          <w:tcPr>
            <w:tcW w:w="1350" w:type="dxa"/>
          </w:tcPr>
          <w:p w14:paraId="02F64E00" w14:textId="2E33B2FB" w:rsidR="00785D1E" w:rsidRPr="0041676F" w:rsidRDefault="00785D1E" w:rsidP="00785D1E">
            <w:pPr>
              <w:pStyle w:val="BodyText2"/>
              <w:rPr>
                <w:sz w:val="24"/>
                <w:szCs w:val="24"/>
              </w:rPr>
            </w:pPr>
            <w:r w:rsidRPr="0041676F">
              <w:rPr>
                <w:sz w:val="24"/>
                <w:szCs w:val="24"/>
              </w:rPr>
              <w:t>Not Reported</w:t>
            </w:r>
          </w:p>
        </w:tc>
        <w:tc>
          <w:tcPr>
            <w:tcW w:w="1350" w:type="dxa"/>
          </w:tcPr>
          <w:p w14:paraId="3E1AF565" w14:textId="1066249F" w:rsidR="00785D1E" w:rsidRPr="0041676F" w:rsidRDefault="00785D1E" w:rsidP="00785D1E">
            <w:pPr>
              <w:pStyle w:val="BodyText2"/>
              <w:rPr>
                <w:sz w:val="24"/>
                <w:szCs w:val="24"/>
              </w:rPr>
            </w:pPr>
            <w:r w:rsidRPr="0041676F">
              <w:rPr>
                <w:sz w:val="24"/>
                <w:szCs w:val="24"/>
              </w:rPr>
              <w:t>Not Reported</w:t>
            </w:r>
          </w:p>
        </w:tc>
        <w:tc>
          <w:tcPr>
            <w:tcW w:w="1350" w:type="dxa"/>
          </w:tcPr>
          <w:p w14:paraId="2B4501A8" w14:textId="3997AEA5" w:rsidR="00785D1E" w:rsidRPr="0041676F" w:rsidRDefault="00785D1E" w:rsidP="00785D1E">
            <w:pPr>
              <w:pStyle w:val="BodyText2"/>
              <w:rPr>
                <w:sz w:val="24"/>
                <w:szCs w:val="24"/>
              </w:rPr>
            </w:pPr>
            <w:r w:rsidRPr="0041676F">
              <w:rPr>
                <w:sz w:val="24"/>
                <w:szCs w:val="24"/>
              </w:rPr>
              <w:t>Not Reported</w:t>
            </w:r>
          </w:p>
        </w:tc>
        <w:tc>
          <w:tcPr>
            <w:tcW w:w="1350" w:type="dxa"/>
          </w:tcPr>
          <w:p w14:paraId="115D4BF9" w14:textId="0B13C357" w:rsidR="00785D1E" w:rsidRPr="0041676F" w:rsidRDefault="00785D1E" w:rsidP="00785D1E">
            <w:pPr>
              <w:pStyle w:val="BodyText2"/>
              <w:rPr>
                <w:sz w:val="24"/>
                <w:szCs w:val="24"/>
              </w:rPr>
            </w:pPr>
            <w:r w:rsidRPr="0041676F">
              <w:rPr>
                <w:sz w:val="24"/>
                <w:szCs w:val="24"/>
              </w:rPr>
              <w:t>Not Reported</w:t>
            </w:r>
          </w:p>
        </w:tc>
        <w:tc>
          <w:tcPr>
            <w:tcW w:w="1350" w:type="dxa"/>
          </w:tcPr>
          <w:p w14:paraId="43383CF0" w14:textId="10399A74" w:rsidR="00785D1E" w:rsidRPr="0041676F" w:rsidRDefault="00785D1E" w:rsidP="00785D1E">
            <w:pPr>
              <w:pStyle w:val="BodyText2"/>
              <w:rPr>
                <w:sz w:val="24"/>
                <w:szCs w:val="24"/>
              </w:rPr>
            </w:pPr>
            <w:r w:rsidRPr="0041676F">
              <w:rPr>
                <w:sz w:val="24"/>
                <w:szCs w:val="24"/>
              </w:rPr>
              <w:t>Not Reported</w:t>
            </w:r>
          </w:p>
        </w:tc>
        <w:tc>
          <w:tcPr>
            <w:tcW w:w="1350" w:type="dxa"/>
          </w:tcPr>
          <w:p w14:paraId="5F86A6D7" w14:textId="0CE71050" w:rsidR="00785D1E" w:rsidRPr="0041676F" w:rsidRDefault="00785D1E" w:rsidP="00785D1E">
            <w:pPr>
              <w:pStyle w:val="BodyText2"/>
              <w:rPr>
                <w:sz w:val="24"/>
                <w:szCs w:val="24"/>
              </w:rPr>
            </w:pPr>
            <w:r w:rsidRPr="0041676F">
              <w:rPr>
                <w:sz w:val="24"/>
                <w:szCs w:val="24"/>
              </w:rPr>
              <w:t>Not Reported</w:t>
            </w:r>
          </w:p>
        </w:tc>
        <w:tc>
          <w:tcPr>
            <w:tcW w:w="1350" w:type="dxa"/>
          </w:tcPr>
          <w:p w14:paraId="4BBB7646" w14:textId="6471C388" w:rsidR="00785D1E" w:rsidRPr="0041676F" w:rsidRDefault="00785D1E" w:rsidP="00785D1E">
            <w:pPr>
              <w:pStyle w:val="BodyText2"/>
              <w:rPr>
                <w:sz w:val="24"/>
                <w:szCs w:val="24"/>
              </w:rPr>
            </w:pPr>
            <w:r w:rsidRPr="0041676F">
              <w:rPr>
                <w:sz w:val="24"/>
                <w:szCs w:val="24"/>
              </w:rPr>
              <w:t>Reporting</w:t>
            </w:r>
          </w:p>
        </w:tc>
        <w:tc>
          <w:tcPr>
            <w:tcW w:w="1350" w:type="dxa"/>
          </w:tcPr>
          <w:p w14:paraId="71B5320B" w14:textId="0CE06418" w:rsidR="00785D1E" w:rsidRPr="0041676F" w:rsidRDefault="00785D1E" w:rsidP="00785D1E">
            <w:pPr>
              <w:pStyle w:val="BodyText2"/>
              <w:rPr>
                <w:sz w:val="24"/>
                <w:szCs w:val="24"/>
              </w:rPr>
            </w:pPr>
            <w:r w:rsidRPr="0041676F">
              <w:rPr>
                <w:sz w:val="24"/>
                <w:szCs w:val="24"/>
              </w:rPr>
              <w:t>Benchmark</w:t>
            </w:r>
          </w:p>
        </w:tc>
      </w:tr>
    </w:tbl>
    <w:p w14:paraId="3E179ECF" w14:textId="77777777" w:rsidR="00AF620B" w:rsidRDefault="00AF620B" w:rsidP="00AF620B">
      <w:pPr>
        <w:rPr>
          <w:sz w:val="20"/>
          <w:szCs w:val="20"/>
        </w:rPr>
      </w:pPr>
    </w:p>
    <w:p w14:paraId="6087E947" w14:textId="77777777" w:rsidR="00AF620B" w:rsidRPr="0041676F" w:rsidRDefault="00AF620B" w:rsidP="00AF620B">
      <w:pPr>
        <w:ind w:left="-360"/>
        <w:rPr>
          <w:sz w:val="20"/>
          <w:szCs w:val="20"/>
        </w:rPr>
      </w:pPr>
      <w:r w:rsidRPr="00B015F5">
        <w:rPr>
          <w:sz w:val="20"/>
          <w:szCs w:val="20"/>
        </w:rPr>
        <w:t xml:space="preserve">1. CMS has retired the following measures and no reporting is required for these measures for the Demonstration: A.5 (Depression screening and follow up </w:t>
      </w:r>
      <w:r w:rsidRPr="0041676F">
        <w:rPr>
          <w:sz w:val="20"/>
          <w:szCs w:val="20"/>
        </w:rPr>
        <w:t>care, #0418); and A.6 (Care transition record transmitted to health care professional, NQF #648).</w:t>
      </w:r>
    </w:p>
    <w:p w14:paraId="7C97E306" w14:textId="1EF8A3EE" w:rsidR="001B5AD8" w:rsidRPr="0041676F" w:rsidRDefault="001B5AD8" w:rsidP="00AF620B">
      <w:pPr>
        <w:ind w:left="-360"/>
        <w:rPr>
          <w:sz w:val="20"/>
          <w:szCs w:val="20"/>
        </w:rPr>
      </w:pPr>
      <w:r w:rsidRPr="0041676F">
        <w:rPr>
          <w:sz w:val="20"/>
          <w:szCs w:val="20"/>
        </w:rPr>
        <w:t>2. As noted in Section IV.J.3.b.vi, during periods impacted by the COVID-19 public health emergency (PHE), the state will receive a score of “met” for each measure that is completely and accurately reported.</w:t>
      </w:r>
    </w:p>
    <w:p w14:paraId="590D2AB9" w14:textId="1AC1A736" w:rsidR="00AF620B" w:rsidRPr="0041676F" w:rsidRDefault="001B5AD8" w:rsidP="00AF620B">
      <w:pPr>
        <w:ind w:left="-360"/>
        <w:rPr>
          <w:sz w:val="20"/>
          <w:szCs w:val="20"/>
        </w:rPr>
      </w:pPr>
      <w:r w:rsidRPr="0041676F">
        <w:rPr>
          <w:sz w:val="20"/>
          <w:szCs w:val="20"/>
        </w:rPr>
        <w:t>3</w:t>
      </w:r>
      <w:r w:rsidR="00AF620B" w:rsidRPr="0041676F">
        <w:rPr>
          <w:sz w:val="20"/>
          <w:szCs w:val="20"/>
        </w:rPr>
        <w:t>. CMS has retired collection of the Screening for Fall Risk measure (A.7) as of Demonstration Year 5. This measure has been replaced by the Mental Health Penetration Measure (A.11).</w:t>
      </w:r>
    </w:p>
    <w:p w14:paraId="692CE48E" w14:textId="6C6ABEE8" w:rsidR="00AF620B" w:rsidRPr="00B015F5" w:rsidRDefault="001B5AD8" w:rsidP="00AF620B">
      <w:pPr>
        <w:ind w:left="-360"/>
        <w:rPr>
          <w:sz w:val="20"/>
          <w:szCs w:val="20"/>
        </w:rPr>
      </w:pPr>
      <w:r w:rsidRPr="0041676F">
        <w:rPr>
          <w:sz w:val="20"/>
          <w:szCs w:val="20"/>
        </w:rPr>
        <w:t>4</w:t>
      </w:r>
      <w:r w:rsidR="00AF620B" w:rsidRPr="0041676F">
        <w:rPr>
          <w:sz w:val="20"/>
          <w:szCs w:val="20"/>
        </w:rPr>
        <w:t>. All rates must be reported to meet the complete and accurate reporting requirements</w:t>
      </w:r>
      <w:r w:rsidR="00AF620B">
        <w:rPr>
          <w:sz w:val="20"/>
          <w:szCs w:val="20"/>
        </w:rPr>
        <w:t xml:space="preserve"> for this measure. </w:t>
      </w:r>
      <w:r w:rsidR="00AF620B" w:rsidRPr="00B015F5">
        <w:rPr>
          <w:sz w:val="20"/>
          <w:szCs w:val="20"/>
        </w:rPr>
        <w:t>The benchmark for the measure will be based on the final calculation of Rate #4, “The percentage of enrollees who were willing to participate and who could be reached who had an assessment completed within 90 days of enrollment.”</w:t>
      </w:r>
    </w:p>
    <w:p w14:paraId="7A490442" w14:textId="42746F15" w:rsidR="00AF620B" w:rsidRPr="001E71CF" w:rsidRDefault="001B5AD8" w:rsidP="00AF620B">
      <w:pPr>
        <w:ind w:left="-360"/>
        <w:rPr>
          <w:sz w:val="20"/>
          <w:szCs w:val="20"/>
        </w:rPr>
      </w:pPr>
      <w:r>
        <w:rPr>
          <w:sz w:val="20"/>
          <w:szCs w:val="20"/>
        </w:rPr>
        <w:t>5</w:t>
      </w:r>
      <w:r w:rsidR="00AF620B" w:rsidRPr="00B015F5">
        <w:rPr>
          <w:sz w:val="20"/>
          <w:szCs w:val="20"/>
        </w:rPr>
        <w:t xml:space="preserve">. All rates must be reported to meet the complete </w:t>
      </w:r>
      <w:r w:rsidR="00AF620B" w:rsidRPr="00416456">
        <w:rPr>
          <w:sz w:val="20"/>
          <w:szCs w:val="20"/>
        </w:rPr>
        <w:t xml:space="preserve">and accurate reporting requirements </w:t>
      </w:r>
      <w:r w:rsidR="00AF620B" w:rsidRPr="001E71CF">
        <w:rPr>
          <w:sz w:val="20"/>
          <w:szCs w:val="20"/>
        </w:rPr>
        <w:t>for this measure. The benchmark for the measure will be based on the final calculation of Rate #4, “The percentage of enrollees who were willing to participate and who could be reached who had a plan of care within 90 days of enrollment.”</w:t>
      </w:r>
    </w:p>
    <w:p w14:paraId="5E354EA9" w14:textId="61E7EB4D" w:rsidR="00AF620B" w:rsidRPr="001E71CF" w:rsidRDefault="001B5AD8" w:rsidP="00AF620B">
      <w:pPr>
        <w:ind w:left="-360"/>
        <w:rPr>
          <w:sz w:val="20"/>
          <w:szCs w:val="20"/>
        </w:rPr>
      </w:pPr>
      <w:r w:rsidRPr="001E71CF">
        <w:rPr>
          <w:sz w:val="20"/>
          <w:szCs w:val="20"/>
        </w:rPr>
        <w:t>6</w:t>
      </w:r>
      <w:r w:rsidR="00AF620B" w:rsidRPr="001E71CF">
        <w:rPr>
          <w:sz w:val="20"/>
          <w:szCs w:val="20"/>
        </w:rPr>
        <w:t>. This measure is retired as of Demonstration Year 5 due to reporting and benchmarking of the following two measures under Model Core Measures as of Demonstration Year 5: Enrollees with an Assessment Completed (A.9) and Enrollees with a Care Plan Completed (A.10).</w:t>
      </w:r>
    </w:p>
    <w:p w14:paraId="5DAA41B8" w14:textId="3195C034" w:rsidR="001B5AD8" w:rsidRDefault="001B5AD8" w:rsidP="00AF620B">
      <w:pPr>
        <w:ind w:left="-360"/>
        <w:rPr>
          <w:sz w:val="20"/>
          <w:szCs w:val="20"/>
        </w:rPr>
      </w:pPr>
      <w:r w:rsidRPr="001E71CF">
        <w:rPr>
          <w:sz w:val="20"/>
          <w:szCs w:val="20"/>
        </w:rPr>
        <w:t>7. This measure is newly reported as of Demonstration Year 8 and benchmarked as of Demonstration Year 9.</w:t>
      </w:r>
      <w:r w:rsidR="00160956" w:rsidRPr="001E71CF">
        <w:rPr>
          <w:sz w:val="20"/>
          <w:szCs w:val="20"/>
        </w:rPr>
        <w:t xml:space="preserve"> This measure will be applied to the intent-to-treat population and use the “Broad” specification described in the technical documentation available here: </w:t>
      </w:r>
      <w:hyperlink r:id="rId21" w:history="1">
        <w:r w:rsidR="00160956" w:rsidRPr="001E71CF">
          <w:rPr>
            <w:rStyle w:val="Hyperlink"/>
            <w:sz w:val="20"/>
            <w:szCs w:val="20"/>
          </w:rPr>
          <w:t>https://www.dshs.wa.gov/sites/default/files/rda/reports/cross-system/DSHS-RDA-Medicaid-Homelessness.pdf</w:t>
        </w:r>
      </w:hyperlink>
      <w:r w:rsidR="00160956" w:rsidRPr="001E71CF">
        <w:rPr>
          <w:sz w:val="20"/>
          <w:szCs w:val="20"/>
        </w:rPr>
        <w:t>.</w:t>
      </w:r>
    </w:p>
    <w:p w14:paraId="078495BD" w14:textId="22D3A6B5" w:rsidR="00A83A7D" w:rsidRDefault="00A83A7D">
      <w:pPr>
        <w:widowControl/>
      </w:pPr>
      <w:r>
        <w:br w:type="page"/>
      </w:r>
    </w:p>
    <w:p w14:paraId="732759D3" w14:textId="3506C37F" w:rsidR="00A83A7D" w:rsidRPr="003A5859" w:rsidRDefault="00A83A7D" w:rsidP="00A83A7D">
      <w:pPr>
        <w:pStyle w:val="BodyText2"/>
        <w:spacing w:line="360" w:lineRule="auto"/>
        <w:ind w:hanging="446"/>
        <w:rPr>
          <w:b/>
          <w:sz w:val="24"/>
          <w:szCs w:val="24"/>
          <w:vertAlign w:val="superscript"/>
        </w:rPr>
      </w:pPr>
      <w:r w:rsidRPr="003A5859">
        <w:rPr>
          <w:b/>
          <w:sz w:val="24"/>
          <w:szCs w:val="24"/>
        </w:rPr>
        <w:lastRenderedPageBreak/>
        <w:t>Table 2</w:t>
      </w:r>
      <w:r w:rsidR="000420EB">
        <w:rPr>
          <w:b/>
          <w:sz w:val="24"/>
          <w:szCs w:val="24"/>
        </w:rPr>
        <w:t xml:space="preserve"> </w:t>
      </w:r>
      <w:r w:rsidRPr="003A5859">
        <w:rPr>
          <w:b/>
          <w:sz w:val="24"/>
          <w:szCs w:val="24"/>
        </w:rPr>
        <w:t>– Demonstration Measurement Set – Region 2 (King and Snohomish Counties)</w:t>
      </w:r>
      <w:r w:rsidR="003A5859">
        <w:rPr>
          <w:b/>
          <w:sz w:val="24"/>
          <w:szCs w:val="24"/>
        </w:rPr>
        <w:t xml:space="preserve"> for Demonstration Years 4-</w:t>
      </w:r>
      <w:r w:rsidR="000C5CF8">
        <w:rPr>
          <w:b/>
          <w:sz w:val="24"/>
          <w:szCs w:val="24"/>
        </w:rPr>
        <w:t>5</w:t>
      </w:r>
    </w:p>
    <w:tbl>
      <w:tblPr>
        <w:tblStyle w:val="TableGrid"/>
        <w:tblW w:w="13320" w:type="dxa"/>
        <w:tblInd w:w="-455" w:type="dxa"/>
        <w:tblLayout w:type="fixed"/>
        <w:tblLook w:val="04A0" w:firstRow="1" w:lastRow="0" w:firstColumn="1" w:lastColumn="0" w:noHBand="0" w:noVBand="1"/>
        <w:tblCaption w:val="Table 2 Demonstration measurement set Region 2 (king and snohomish counties)"/>
        <w:tblDescription w:val="This table presents the demonstration measurement set for region 2 for king and snohomish counties for years 4 through 5,  including measure numbers and model core measure descriptions."/>
      </w:tblPr>
      <w:tblGrid>
        <w:gridCol w:w="1170"/>
        <w:gridCol w:w="5130"/>
        <w:gridCol w:w="3150"/>
        <w:gridCol w:w="900"/>
        <w:gridCol w:w="1530"/>
        <w:gridCol w:w="1440"/>
      </w:tblGrid>
      <w:tr w:rsidR="000420EB" w:rsidRPr="003A5859" w14:paraId="6D3B5855" w14:textId="77777777" w:rsidTr="00640313">
        <w:trPr>
          <w:trHeight w:val="566"/>
          <w:tblHeader/>
        </w:trPr>
        <w:tc>
          <w:tcPr>
            <w:tcW w:w="1170" w:type="dxa"/>
            <w:shd w:val="clear" w:color="auto" w:fill="BFBFBF" w:themeFill="background1" w:themeFillShade="BF"/>
          </w:tcPr>
          <w:p w14:paraId="47ADF2E1" w14:textId="77777777" w:rsidR="000420EB" w:rsidRPr="00C45C99" w:rsidRDefault="000420EB" w:rsidP="00A90998">
            <w:pPr>
              <w:pStyle w:val="BodyText2"/>
              <w:rPr>
                <w:b/>
                <w:sz w:val="24"/>
                <w:szCs w:val="24"/>
              </w:rPr>
            </w:pPr>
            <w:r w:rsidRPr="00C45C99">
              <w:rPr>
                <w:b/>
                <w:sz w:val="24"/>
                <w:szCs w:val="24"/>
              </w:rPr>
              <w:t>Measure Number</w:t>
            </w:r>
          </w:p>
        </w:tc>
        <w:tc>
          <w:tcPr>
            <w:tcW w:w="8280" w:type="dxa"/>
            <w:gridSpan w:val="2"/>
            <w:tcBorders>
              <w:bottom w:val="single" w:sz="4" w:space="0" w:color="auto"/>
            </w:tcBorders>
            <w:shd w:val="clear" w:color="auto" w:fill="BFBFBF" w:themeFill="background1" w:themeFillShade="BF"/>
          </w:tcPr>
          <w:p w14:paraId="774B8C0F" w14:textId="77777777" w:rsidR="000420EB" w:rsidRPr="00C45C99" w:rsidRDefault="000420EB" w:rsidP="00A90998">
            <w:pPr>
              <w:pStyle w:val="BodyText2"/>
              <w:rPr>
                <w:b/>
                <w:sz w:val="24"/>
                <w:szCs w:val="24"/>
              </w:rPr>
            </w:pPr>
            <w:r w:rsidRPr="00C45C99">
              <w:rPr>
                <w:b/>
                <w:sz w:val="24"/>
                <w:szCs w:val="24"/>
              </w:rPr>
              <w:t>Measure Description</w:t>
            </w:r>
          </w:p>
        </w:tc>
        <w:tc>
          <w:tcPr>
            <w:tcW w:w="900" w:type="dxa"/>
            <w:tcBorders>
              <w:bottom w:val="single" w:sz="4" w:space="0" w:color="auto"/>
            </w:tcBorders>
            <w:shd w:val="clear" w:color="auto" w:fill="BFBFBF" w:themeFill="background1" w:themeFillShade="BF"/>
          </w:tcPr>
          <w:p w14:paraId="43C8F1D7" w14:textId="3B345191" w:rsidR="000420EB" w:rsidRPr="003A5859" w:rsidRDefault="000420EB" w:rsidP="00640313">
            <w:pPr>
              <w:pStyle w:val="BodyText2"/>
              <w:rPr>
                <w:b/>
                <w:sz w:val="24"/>
                <w:szCs w:val="24"/>
              </w:rPr>
            </w:pPr>
            <w:r w:rsidRPr="00C45C99">
              <w:rPr>
                <w:b/>
                <w:sz w:val="24"/>
                <w:szCs w:val="24"/>
              </w:rPr>
              <w:t>Year</w:t>
            </w:r>
            <w:r>
              <w:rPr>
                <w:b/>
                <w:sz w:val="24"/>
                <w:szCs w:val="24"/>
              </w:rPr>
              <w:t>s</w:t>
            </w:r>
            <w:r w:rsidRPr="00C45C99">
              <w:rPr>
                <w:b/>
                <w:sz w:val="24"/>
                <w:szCs w:val="24"/>
              </w:rPr>
              <w:t xml:space="preserve"> 1</w:t>
            </w:r>
            <w:r>
              <w:rPr>
                <w:b/>
                <w:sz w:val="24"/>
                <w:szCs w:val="24"/>
              </w:rPr>
              <w:t>-3</w:t>
            </w:r>
          </w:p>
        </w:tc>
        <w:tc>
          <w:tcPr>
            <w:tcW w:w="1530" w:type="dxa"/>
            <w:tcBorders>
              <w:bottom w:val="single" w:sz="4" w:space="0" w:color="auto"/>
            </w:tcBorders>
            <w:shd w:val="clear" w:color="auto" w:fill="BFBFBF" w:themeFill="background1" w:themeFillShade="BF"/>
          </w:tcPr>
          <w:p w14:paraId="0EF2A77D" w14:textId="77777777" w:rsidR="000420EB" w:rsidRPr="00C45C99" w:rsidRDefault="000420EB" w:rsidP="00A90998">
            <w:pPr>
              <w:pStyle w:val="BodyText2"/>
              <w:rPr>
                <w:b/>
                <w:sz w:val="24"/>
                <w:szCs w:val="24"/>
              </w:rPr>
            </w:pPr>
            <w:r w:rsidRPr="00C45C99">
              <w:rPr>
                <w:b/>
                <w:sz w:val="24"/>
                <w:szCs w:val="24"/>
              </w:rPr>
              <w:t>Year 4</w:t>
            </w:r>
          </w:p>
        </w:tc>
        <w:tc>
          <w:tcPr>
            <w:tcW w:w="1440" w:type="dxa"/>
            <w:tcBorders>
              <w:bottom w:val="single" w:sz="4" w:space="0" w:color="auto"/>
            </w:tcBorders>
            <w:shd w:val="clear" w:color="auto" w:fill="BFBFBF" w:themeFill="background1" w:themeFillShade="BF"/>
          </w:tcPr>
          <w:p w14:paraId="0E102CD9" w14:textId="77777777" w:rsidR="000420EB" w:rsidRPr="00C45C99" w:rsidRDefault="000420EB" w:rsidP="00A90998">
            <w:pPr>
              <w:pStyle w:val="BodyText2"/>
              <w:rPr>
                <w:b/>
                <w:sz w:val="24"/>
                <w:szCs w:val="24"/>
              </w:rPr>
            </w:pPr>
            <w:r w:rsidRPr="00C45C99">
              <w:rPr>
                <w:b/>
                <w:sz w:val="24"/>
                <w:szCs w:val="24"/>
              </w:rPr>
              <w:t>Year 5</w:t>
            </w:r>
          </w:p>
        </w:tc>
      </w:tr>
      <w:tr w:rsidR="000420EB" w:rsidRPr="003A5859" w14:paraId="6D1EA03F" w14:textId="77777777" w:rsidTr="000420EB">
        <w:trPr>
          <w:trHeight w:val="287"/>
        </w:trPr>
        <w:tc>
          <w:tcPr>
            <w:tcW w:w="11880" w:type="dxa"/>
            <w:gridSpan w:val="5"/>
            <w:tcBorders>
              <w:right w:val="nil"/>
            </w:tcBorders>
            <w:shd w:val="clear" w:color="auto" w:fill="F2F2F2" w:themeFill="background1" w:themeFillShade="F2"/>
          </w:tcPr>
          <w:p w14:paraId="6C9AEF11" w14:textId="778A3D8F" w:rsidR="000420EB" w:rsidRPr="003A5859" w:rsidRDefault="000420EB" w:rsidP="00A90998">
            <w:pPr>
              <w:pStyle w:val="BodyText2"/>
              <w:rPr>
                <w:sz w:val="24"/>
                <w:szCs w:val="24"/>
              </w:rPr>
            </w:pPr>
            <w:r w:rsidRPr="003A5859">
              <w:rPr>
                <w:b/>
                <w:sz w:val="24"/>
              </w:rPr>
              <w:t>Model Core Measures</w:t>
            </w:r>
          </w:p>
        </w:tc>
        <w:tc>
          <w:tcPr>
            <w:tcW w:w="1440" w:type="dxa"/>
            <w:tcBorders>
              <w:left w:val="nil"/>
              <w:right w:val="nil"/>
            </w:tcBorders>
            <w:shd w:val="clear" w:color="auto" w:fill="F2F2F2" w:themeFill="background1" w:themeFillShade="F2"/>
          </w:tcPr>
          <w:p w14:paraId="0ED25BA3" w14:textId="77777777" w:rsidR="000420EB" w:rsidRPr="003A5859" w:rsidRDefault="000420EB" w:rsidP="00A90998">
            <w:pPr>
              <w:pStyle w:val="BodyText2"/>
              <w:rPr>
                <w:sz w:val="24"/>
                <w:szCs w:val="24"/>
              </w:rPr>
            </w:pPr>
          </w:p>
        </w:tc>
      </w:tr>
      <w:tr w:rsidR="000420EB" w:rsidRPr="003A5859" w14:paraId="6E28F1A7" w14:textId="77777777" w:rsidTr="008E154D">
        <w:trPr>
          <w:trHeight w:val="593"/>
        </w:trPr>
        <w:tc>
          <w:tcPr>
            <w:tcW w:w="1170" w:type="dxa"/>
          </w:tcPr>
          <w:p w14:paraId="4AF673A4" w14:textId="77777777" w:rsidR="000420EB" w:rsidRPr="003A5859" w:rsidRDefault="000420EB" w:rsidP="00A90998">
            <w:pPr>
              <w:pStyle w:val="BodyText2"/>
              <w:rPr>
                <w:sz w:val="24"/>
                <w:szCs w:val="24"/>
              </w:rPr>
            </w:pPr>
            <w:r w:rsidRPr="003A5859">
              <w:rPr>
                <w:sz w:val="24"/>
                <w:szCs w:val="24"/>
              </w:rPr>
              <w:t>A.1</w:t>
            </w:r>
          </w:p>
        </w:tc>
        <w:tc>
          <w:tcPr>
            <w:tcW w:w="8280" w:type="dxa"/>
            <w:gridSpan w:val="2"/>
          </w:tcPr>
          <w:p w14:paraId="6BBF4400" w14:textId="77777777" w:rsidR="000420EB" w:rsidRPr="003A5859" w:rsidRDefault="000420EB" w:rsidP="00A90998">
            <w:r w:rsidRPr="003A5859">
              <w:t>All Cause Hospital Readmission</w:t>
            </w:r>
          </w:p>
          <w:p w14:paraId="23A0A3A5" w14:textId="4723AC00" w:rsidR="000420EB" w:rsidRPr="003A5859" w:rsidRDefault="000420EB" w:rsidP="00A90998">
            <w:r w:rsidRPr="003A5859">
              <w:rPr>
                <w:i/>
              </w:rPr>
              <w:t>(Plan All Cause Readmission #176)</w:t>
            </w:r>
          </w:p>
        </w:tc>
        <w:tc>
          <w:tcPr>
            <w:tcW w:w="900" w:type="dxa"/>
          </w:tcPr>
          <w:p w14:paraId="0FA0F797" w14:textId="759F997D" w:rsidR="000420EB" w:rsidRPr="00C45C99" w:rsidRDefault="000420EB" w:rsidP="00A90998">
            <w:pPr>
              <w:pStyle w:val="BodyText2"/>
              <w:rPr>
                <w:sz w:val="24"/>
                <w:szCs w:val="24"/>
              </w:rPr>
            </w:pPr>
            <w:r>
              <w:rPr>
                <w:sz w:val="24"/>
                <w:szCs w:val="24"/>
              </w:rPr>
              <w:t>N/A</w:t>
            </w:r>
          </w:p>
        </w:tc>
        <w:tc>
          <w:tcPr>
            <w:tcW w:w="1530" w:type="dxa"/>
          </w:tcPr>
          <w:p w14:paraId="2D470D03" w14:textId="3185A0B9" w:rsidR="000420EB" w:rsidRPr="00C45C99" w:rsidRDefault="000420EB" w:rsidP="00A90998">
            <w:pPr>
              <w:pStyle w:val="BodyText2"/>
              <w:rPr>
                <w:sz w:val="24"/>
                <w:szCs w:val="24"/>
              </w:rPr>
            </w:pPr>
            <w:r w:rsidRPr="00C45C99">
              <w:rPr>
                <w:sz w:val="24"/>
                <w:szCs w:val="24"/>
              </w:rPr>
              <w:t>Reporting</w:t>
            </w:r>
          </w:p>
        </w:tc>
        <w:tc>
          <w:tcPr>
            <w:tcW w:w="1440" w:type="dxa"/>
          </w:tcPr>
          <w:p w14:paraId="19CAE590" w14:textId="77777777" w:rsidR="000420EB" w:rsidRPr="00C45C99" w:rsidRDefault="000420EB" w:rsidP="00A90998">
            <w:pPr>
              <w:pStyle w:val="BodyText2"/>
              <w:rPr>
                <w:sz w:val="24"/>
                <w:szCs w:val="24"/>
              </w:rPr>
            </w:pPr>
            <w:r w:rsidRPr="00C45C99">
              <w:rPr>
                <w:sz w:val="24"/>
                <w:szCs w:val="24"/>
              </w:rPr>
              <w:t>Benchmark</w:t>
            </w:r>
          </w:p>
        </w:tc>
      </w:tr>
      <w:tr w:rsidR="000420EB" w:rsidRPr="003A5859" w14:paraId="6307466E" w14:textId="77777777" w:rsidTr="000420EB">
        <w:tc>
          <w:tcPr>
            <w:tcW w:w="1170" w:type="dxa"/>
          </w:tcPr>
          <w:p w14:paraId="33CB7899" w14:textId="77777777" w:rsidR="000420EB" w:rsidRPr="003A5859" w:rsidRDefault="000420EB" w:rsidP="00C45C99">
            <w:pPr>
              <w:pStyle w:val="BodyText2"/>
              <w:rPr>
                <w:sz w:val="24"/>
                <w:szCs w:val="24"/>
              </w:rPr>
            </w:pPr>
            <w:r w:rsidRPr="003A5859">
              <w:rPr>
                <w:sz w:val="24"/>
                <w:szCs w:val="24"/>
              </w:rPr>
              <w:t>A.2</w:t>
            </w:r>
          </w:p>
        </w:tc>
        <w:tc>
          <w:tcPr>
            <w:tcW w:w="8280" w:type="dxa"/>
            <w:gridSpan w:val="2"/>
          </w:tcPr>
          <w:p w14:paraId="1FDE52D6" w14:textId="77777777" w:rsidR="000420EB" w:rsidRPr="003A5859" w:rsidRDefault="000420EB" w:rsidP="00C45C99">
            <w:r w:rsidRPr="003A5859">
              <w:t>Ambulatory Care-Sensitive Condition Hospital Admission</w:t>
            </w:r>
          </w:p>
          <w:p w14:paraId="2F1C99A2" w14:textId="77777777" w:rsidR="000420EB" w:rsidRPr="003A5859" w:rsidRDefault="000420EB" w:rsidP="00C45C99">
            <w:pPr>
              <w:pStyle w:val="BodyText2"/>
              <w:rPr>
                <w:sz w:val="24"/>
                <w:szCs w:val="24"/>
              </w:rPr>
            </w:pPr>
            <w:r w:rsidRPr="003A5859">
              <w:rPr>
                <w:i/>
                <w:sz w:val="24"/>
                <w:szCs w:val="24"/>
              </w:rPr>
              <w:t>(PQI Composite #90)</w:t>
            </w:r>
          </w:p>
        </w:tc>
        <w:tc>
          <w:tcPr>
            <w:tcW w:w="900" w:type="dxa"/>
          </w:tcPr>
          <w:p w14:paraId="073753E2" w14:textId="66DA0213" w:rsidR="000420EB" w:rsidRPr="00C45C99" w:rsidRDefault="000420EB" w:rsidP="00C45C99">
            <w:pPr>
              <w:pStyle w:val="BodyText2"/>
              <w:rPr>
                <w:sz w:val="24"/>
                <w:szCs w:val="24"/>
              </w:rPr>
            </w:pPr>
            <w:r w:rsidRPr="00A64921">
              <w:rPr>
                <w:sz w:val="24"/>
                <w:szCs w:val="24"/>
              </w:rPr>
              <w:t>N/A</w:t>
            </w:r>
          </w:p>
        </w:tc>
        <w:tc>
          <w:tcPr>
            <w:tcW w:w="1530" w:type="dxa"/>
          </w:tcPr>
          <w:p w14:paraId="7099B3B4" w14:textId="59A707A3" w:rsidR="000420EB" w:rsidRPr="00C45C99" w:rsidRDefault="000420EB" w:rsidP="00C45C99">
            <w:pPr>
              <w:pStyle w:val="BodyText2"/>
              <w:rPr>
                <w:sz w:val="24"/>
                <w:szCs w:val="24"/>
              </w:rPr>
            </w:pPr>
            <w:r w:rsidRPr="00C45C99">
              <w:rPr>
                <w:sz w:val="24"/>
                <w:szCs w:val="24"/>
              </w:rPr>
              <w:t>Reporting</w:t>
            </w:r>
          </w:p>
        </w:tc>
        <w:tc>
          <w:tcPr>
            <w:tcW w:w="1440" w:type="dxa"/>
          </w:tcPr>
          <w:p w14:paraId="538FFFD8"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4D788B25" w14:textId="77777777" w:rsidTr="000420EB">
        <w:tc>
          <w:tcPr>
            <w:tcW w:w="1170" w:type="dxa"/>
          </w:tcPr>
          <w:p w14:paraId="2925D94E" w14:textId="77777777" w:rsidR="000420EB" w:rsidRPr="003A5859" w:rsidRDefault="000420EB" w:rsidP="00C45C99">
            <w:pPr>
              <w:pStyle w:val="BodyText2"/>
              <w:rPr>
                <w:sz w:val="24"/>
                <w:szCs w:val="24"/>
              </w:rPr>
            </w:pPr>
            <w:r w:rsidRPr="003A5859">
              <w:rPr>
                <w:sz w:val="24"/>
                <w:szCs w:val="24"/>
              </w:rPr>
              <w:t>A.3</w:t>
            </w:r>
          </w:p>
        </w:tc>
        <w:tc>
          <w:tcPr>
            <w:tcW w:w="8280" w:type="dxa"/>
            <w:gridSpan w:val="2"/>
          </w:tcPr>
          <w:p w14:paraId="2C0E5C08" w14:textId="77777777" w:rsidR="000420EB" w:rsidRPr="003A5859" w:rsidRDefault="000420EB" w:rsidP="00C45C99">
            <w:r w:rsidRPr="003A5859">
              <w:t xml:space="preserve">ED Visits for Ambulatory Care-Sensitive Conditions </w:t>
            </w:r>
          </w:p>
          <w:p w14:paraId="3DED5874" w14:textId="77777777" w:rsidR="000420EB" w:rsidRPr="003A5859" w:rsidRDefault="000420EB" w:rsidP="00C45C99">
            <w:pPr>
              <w:pStyle w:val="BodyText2"/>
              <w:rPr>
                <w:sz w:val="24"/>
                <w:szCs w:val="24"/>
              </w:rPr>
            </w:pPr>
            <w:r w:rsidRPr="003A5859">
              <w:rPr>
                <w:i/>
                <w:sz w:val="24"/>
                <w:szCs w:val="24"/>
              </w:rPr>
              <w:t>(Rosenthal)</w:t>
            </w:r>
          </w:p>
        </w:tc>
        <w:tc>
          <w:tcPr>
            <w:tcW w:w="900" w:type="dxa"/>
          </w:tcPr>
          <w:p w14:paraId="7E17C7EF" w14:textId="548E7954" w:rsidR="000420EB" w:rsidRPr="00C45C99" w:rsidRDefault="000420EB" w:rsidP="00C45C99">
            <w:pPr>
              <w:pStyle w:val="BodyText2"/>
              <w:rPr>
                <w:sz w:val="24"/>
                <w:szCs w:val="24"/>
              </w:rPr>
            </w:pPr>
            <w:r w:rsidRPr="00A64921">
              <w:rPr>
                <w:sz w:val="24"/>
                <w:szCs w:val="24"/>
              </w:rPr>
              <w:t>N/A</w:t>
            </w:r>
          </w:p>
        </w:tc>
        <w:tc>
          <w:tcPr>
            <w:tcW w:w="1530" w:type="dxa"/>
          </w:tcPr>
          <w:p w14:paraId="715E23AB" w14:textId="7164275D" w:rsidR="000420EB" w:rsidRPr="00C45C99" w:rsidRDefault="000420EB" w:rsidP="00C45C99">
            <w:pPr>
              <w:pStyle w:val="BodyText2"/>
              <w:rPr>
                <w:sz w:val="24"/>
                <w:szCs w:val="24"/>
              </w:rPr>
            </w:pPr>
            <w:r w:rsidRPr="00C45C99">
              <w:rPr>
                <w:sz w:val="24"/>
                <w:szCs w:val="24"/>
              </w:rPr>
              <w:t>Reporting</w:t>
            </w:r>
          </w:p>
        </w:tc>
        <w:tc>
          <w:tcPr>
            <w:tcW w:w="1440" w:type="dxa"/>
          </w:tcPr>
          <w:p w14:paraId="438B3D19"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5ABC56F4" w14:textId="77777777" w:rsidTr="000420EB">
        <w:tc>
          <w:tcPr>
            <w:tcW w:w="1170" w:type="dxa"/>
          </w:tcPr>
          <w:p w14:paraId="247EDB84" w14:textId="77777777" w:rsidR="000420EB" w:rsidRPr="003A5859" w:rsidRDefault="000420EB" w:rsidP="00C45C99">
            <w:pPr>
              <w:pStyle w:val="BodyText2"/>
              <w:rPr>
                <w:sz w:val="24"/>
                <w:szCs w:val="24"/>
              </w:rPr>
            </w:pPr>
            <w:r w:rsidRPr="003A5859">
              <w:rPr>
                <w:sz w:val="24"/>
                <w:szCs w:val="24"/>
              </w:rPr>
              <w:t>A.4</w:t>
            </w:r>
          </w:p>
        </w:tc>
        <w:tc>
          <w:tcPr>
            <w:tcW w:w="8280" w:type="dxa"/>
            <w:gridSpan w:val="2"/>
          </w:tcPr>
          <w:p w14:paraId="31B81EF6" w14:textId="77777777" w:rsidR="000420EB" w:rsidRPr="003A5859" w:rsidRDefault="000420EB" w:rsidP="00C45C99">
            <w:r w:rsidRPr="003A5859">
              <w:t>Follow-Up after Hospitalization for Mental Illness</w:t>
            </w:r>
          </w:p>
          <w:p w14:paraId="7F888C32" w14:textId="77777777" w:rsidR="000420EB" w:rsidRPr="003A5859" w:rsidRDefault="000420EB" w:rsidP="00C45C99">
            <w:pPr>
              <w:pStyle w:val="BodyText2"/>
              <w:rPr>
                <w:sz w:val="24"/>
                <w:szCs w:val="24"/>
              </w:rPr>
            </w:pPr>
            <w:r w:rsidRPr="003A5859">
              <w:rPr>
                <w:i/>
                <w:sz w:val="24"/>
                <w:szCs w:val="24"/>
              </w:rPr>
              <w:t>(NQF #0576)</w:t>
            </w:r>
          </w:p>
        </w:tc>
        <w:tc>
          <w:tcPr>
            <w:tcW w:w="900" w:type="dxa"/>
          </w:tcPr>
          <w:p w14:paraId="30B0777B" w14:textId="2E15C0C9" w:rsidR="000420EB" w:rsidRPr="00C45C99" w:rsidRDefault="000420EB" w:rsidP="00C45C99">
            <w:pPr>
              <w:pStyle w:val="BodyText2"/>
              <w:rPr>
                <w:sz w:val="24"/>
                <w:szCs w:val="24"/>
              </w:rPr>
            </w:pPr>
            <w:r w:rsidRPr="009716AB">
              <w:rPr>
                <w:sz w:val="24"/>
                <w:szCs w:val="24"/>
              </w:rPr>
              <w:t>N/A</w:t>
            </w:r>
          </w:p>
        </w:tc>
        <w:tc>
          <w:tcPr>
            <w:tcW w:w="1530" w:type="dxa"/>
          </w:tcPr>
          <w:p w14:paraId="7CE46B18" w14:textId="00C71CFF" w:rsidR="000420EB" w:rsidRPr="00C45C99" w:rsidRDefault="000420EB" w:rsidP="00C45C99">
            <w:pPr>
              <w:pStyle w:val="BodyText2"/>
              <w:rPr>
                <w:sz w:val="24"/>
                <w:szCs w:val="24"/>
              </w:rPr>
            </w:pPr>
            <w:r w:rsidRPr="00C45C99">
              <w:rPr>
                <w:sz w:val="24"/>
                <w:szCs w:val="24"/>
              </w:rPr>
              <w:t>Reporting</w:t>
            </w:r>
          </w:p>
        </w:tc>
        <w:tc>
          <w:tcPr>
            <w:tcW w:w="1440" w:type="dxa"/>
          </w:tcPr>
          <w:p w14:paraId="61ED6783"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3F54228E" w14:textId="77777777" w:rsidTr="000420EB">
        <w:tc>
          <w:tcPr>
            <w:tcW w:w="1170" w:type="dxa"/>
          </w:tcPr>
          <w:p w14:paraId="3516914F" w14:textId="77777777" w:rsidR="000420EB" w:rsidRPr="003A5859" w:rsidRDefault="000420EB" w:rsidP="00A56CD4">
            <w:pPr>
              <w:pStyle w:val="BodyText2"/>
              <w:rPr>
                <w:sz w:val="24"/>
                <w:szCs w:val="24"/>
              </w:rPr>
            </w:pPr>
            <w:r w:rsidRPr="003A5859">
              <w:rPr>
                <w:sz w:val="24"/>
                <w:szCs w:val="24"/>
              </w:rPr>
              <w:t>A.8</w:t>
            </w:r>
          </w:p>
        </w:tc>
        <w:tc>
          <w:tcPr>
            <w:tcW w:w="8280" w:type="dxa"/>
            <w:gridSpan w:val="2"/>
          </w:tcPr>
          <w:p w14:paraId="3DD15EBD" w14:textId="77777777" w:rsidR="000420EB" w:rsidRPr="003A5859" w:rsidRDefault="000420EB" w:rsidP="00A56CD4">
            <w:r w:rsidRPr="003A5859">
              <w:t xml:space="preserve">Initiation of alcohol and other drug dependent treatment </w:t>
            </w:r>
          </w:p>
          <w:p w14:paraId="242C46BD" w14:textId="77777777" w:rsidR="000420EB" w:rsidRPr="003A5859" w:rsidRDefault="000420EB" w:rsidP="00A56CD4">
            <w:pPr>
              <w:pStyle w:val="BodyText2"/>
              <w:rPr>
                <w:sz w:val="24"/>
                <w:szCs w:val="24"/>
              </w:rPr>
            </w:pPr>
            <w:r w:rsidRPr="003A5859">
              <w:rPr>
                <w:i/>
                <w:sz w:val="24"/>
                <w:szCs w:val="24"/>
              </w:rPr>
              <w:t>(NQF #0004)</w:t>
            </w:r>
          </w:p>
        </w:tc>
        <w:tc>
          <w:tcPr>
            <w:tcW w:w="900" w:type="dxa"/>
          </w:tcPr>
          <w:p w14:paraId="2531A845" w14:textId="1391AF45" w:rsidR="000420EB" w:rsidRPr="00C45C99" w:rsidRDefault="000420EB" w:rsidP="00A56CD4">
            <w:pPr>
              <w:pStyle w:val="BodyText2"/>
              <w:rPr>
                <w:sz w:val="24"/>
                <w:szCs w:val="24"/>
              </w:rPr>
            </w:pPr>
            <w:r w:rsidRPr="009716AB">
              <w:rPr>
                <w:sz w:val="24"/>
                <w:szCs w:val="24"/>
              </w:rPr>
              <w:t>N/A</w:t>
            </w:r>
          </w:p>
        </w:tc>
        <w:tc>
          <w:tcPr>
            <w:tcW w:w="1530" w:type="dxa"/>
          </w:tcPr>
          <w:p w14:paraId="7D111443" w14:textId="5D9650EF" w:rsidR="000420EB" w:rsidRPr="00C45C99" w:rsidRDefault="000420EB" w:rsidP="00A56CD4">
            <w:pPr>
              <w:pStyle w:val="BodyText2"/>
              <w:rPr>
                <w:sz w:val="24"/>
                <w:szCs w:val="24"/>
              </w:rPr>
            </w:pPr>
            <w:r w:rsidRPr="00862C73">
              <w:rPr>
                <w:sz w:val="24"/>
                <w:szCs w:val="24"/>
              </w:rPr>
              <w:t>Not Reported</w:t>
            </w:r>
          </w:p>
        </w:tc>
        <w:tc>
          <w:tcPr>
            <w:tcW w:w="1440" w:type="dxa"/>
          </w:tcPr>
          <w:p w14:paraId="13434D32" w14:textId="6AABC886" w:rsidR="000420EB" w:rsidRPr="00C45C99" w:rsidRDefault="000420EB" w:rsidP="00A56CD4">
            <w:pPr>
              <w:pStyle w:val="BodyText2"/>
              <w:rPr>
                <w:sz w:val="24"/>
                <w:szCs w:val="24"/>
              </w:rPr>
            </w:pPr>
            <w:r w:rsidRPr="00862C73">
              <w:rPr>
                <w:sz w:val="24"/>
                <w:szCs w:val="24"/>
              </w:rPr>
              <w:t>Not Reported</w:t>
            </w:r>
          </w:p>
        </w:tc>
      </w:tr>
      <w:tr w:rsidR="000420EB" w:rsidRPr="003A5859" w14:paraId="7387E6D4" w14:textId="77777777" w:rsidTr="000420EB">
        <w:tc>
          <w:tcPr>
            <w:tcW w:w="1170" w:type="dxa"/>
          </w:tcPr>
          <w:p w14:paraId="19BE86BE" w14:textId="77777777" w:rsidR="000420EB" w:rsidRPr="003A5859" w:rsidRDefault="000420EB" w:rsidP="00C45C99">
            <w:pPr>
              <w:pStyle w:val="BodyText2"/>
              <w:rPr>
                <w:sz w:val="24"/>
                <w:szCs w:val="24"/>
              </w:rPr>
            </w:pPr>
            <w:r w:rsidRPr="003A5859">
              <w:rPr>
                <w:sz w:val="24"/>
                <w:szCs w:val="24"/>
              </w:rPr>
              <w:t>A.9</w:t>
            </w:r>
          </w:p>
        </w:tc>
        <w:tc>
          <w:tcPr>
            <w:tcW w:w="8280" w:type="dxa"/>
            <w:gridSpan w:val="2"/>
          </w:tcPr>
          <w:p w14:paraId="3D43E2BE" w14:textId="4077F80F" w:rsidR="000420EB" w:rsidRPr="003A5859" w:rsidRDefault="000420EB" w:rsidP="00C45C99">
            <w:pPr>
              <w:pStyle w:val="BodyText2"/>
              <w:rPr>
                <w:sz w:val="24"/>
                <w:szCs w:val="24"/>
              </w:rPr>
            </w:pPr>
            <w:r w:rsidRPr="003A5859">
              <w:rPr>
                <w:sz w:val="24"/>
                <w:szCs w:val="24"/>
              </w:rPr>
              <w:t>Enrollees with an Assessment Completed: Percentage of demonstration-eligible Medicare-Medicaid enrollees who are enrolled with a care coordination entity and had an assessment completed within 90 days of enrollment with a care coordination entity</w:t>
            </w:r>
            <w:r w:rsidRPr="003A5859">
              <w:rPr>
                <w:sz w:val="24"/>
                <w:szCs w:val="24"/>
                <w:vertAlign w:val="superscript"/>
              </w:rPr>
              <w:t>1</w:t>
            </w:r>
          </w:p>
        </w:tc>
        <w:tc>
          <w:tcPr>
            <w:tcW w:w="900" w:type="dxa"/>
          </w:tcPr>
          <w:p w14:paraId="0D7EF67C" w14:textId="56FDB225" w:rsidR="000420EB" w:rsidRPr="00C45C99" w:rsidRDefault="000420EB" w:rsidP="00C45C99">
            <w:pPr>
              <w:pStyle w:val="BodyText2"/>
              <w:rPr>
                <w:sz w:val="24"/>
                <w:szCs w:val="24"/>
              </w:rPr>
            </w:pPr>
            <w:r w:rsidRPr="009716AB">
              <w:rPr>
                <w:sz w:val="24"/>
                <w:szCs w:val="24"/>
              </w:rPr>
              <w:t>N/A</w:t>
            </w:r>
          </w:p>
        </w:tc>
        <w:tc>
          <w:tcPr>
            <w:tcW w:w="1530" w:type="dxa"/>
          </w:tcPr>
          <w:p w14:paraId="5AC29BBB" w14:textId="0FBE088A" w:rsidR="000420EB" w:rsidRPr="00C45C99" w:rsidRDefault="000420EB" w:rsidP="00C45C99">
            <w:pPr>
              <w:pStyle w:val="BodyText2"/>
              <w:rPr>
                <w:sz w:val="24"/>
                <w:szCs w:val="24"/>
              </w:rPr>
            </w:pPr>
            <w:r>
              <w:rPr>
                <w:sz w:val="24"/>
                <w:szCs w:val="24"/>
              </w:rPr>
              <w:t>Not Reported</w:t>
            </w:r>
          </w:p>
        </w:tc>
        <w:tc>
          <w:tcPr>
            <w:tcW w:w="1440" w:type="dxa"/>
          </w:tcPr>
          <w:p w14:paraId="76DD46F9" w14:textId="77777777" w:rsidR="000420EB" w:rsidRPr="00C45C99" w:rsidRDefault="000420EB" w:rsidP="00C45C99">
            <w:pPr>
              <w:pStyle w:val="BodyText2"/>
              <w:rPr>
                <w:sz w:val="24"/>
                <w:szCs w:val="24"/>
              </w:rPr>
            </w:pPr>
            <w:r w:rsidRPr="00C45C99">
              <w:rPr>
                <w:sz w:val="24"/>
                <w:szCs w:val="24"/>
              </w:rPr>
              <w:t>Reporting</w:t>
            </w:r>
          </w:p>
        </w:tc>
      </w:tr>
      <w:tr w:rsidR="000420EB" w:rsidRPr="003A5859" w14:paraId="76F4FE63" w14:textId="77777777" w:rsidTr="000420EB">
        <w:tc>
          <w:tcPr>
            <w:tcW w:w="1170" w:type="dxa"/>
          </w:tcPr>
          <w:p w14:paraId="3FAF4E6C" w14:textId="77777777" w:rsidR="000420EB" w:rsidRPr="003A5859" w:rsidRDefault="000420EB" w:rsidP="00C45C99">
            <w:pPr>
              <w:pStyle w:val="BodyText2"/>
              <w:rPr>
                <w:sz w:val="24"/>
                <w:szCs w:val="24"/>
              </w:rPr>
            </w:pPr>
            <w:r w:rsidRPr="003A5859">
              <w:rPr>
                <w:sz w:val="24"/>
                <w:szCs w:val="24"/>
              </w:rPr>
              <w:t>A.10</w:t>
            </w:r>
          </w:p>
        </w:tc>
        <w:tc>
          <w:tcPr>
            <w:tcW w:w="8280" w:type="dxa"/>
            <w:gridSpan w:val="2"/>
          </w:tcPr>
          <w:p w14:paraId="4360655E" w14:textId="629CD7B2" w:rsidR="000420EB" w:rsidRPr="003A5859" w:rsidRDefault="000420EB" w:rsidP="00C45C99">
            <w:pPr>
              <w:pStyle w:val="BodyText2"/>
              <w:rPr>
                <w:sz w:val="24"/>
                <w:szCs w:val="24"/>
              </w:rPr>
            </w:pPr>
            <w:r w:rsidRPr="003A5859">
              <w:rPr>
                <w:sz w:val="24"/>
                <w:szCs w:val="24"/>
              </w:rPr>
              <w:t>Enrollees with a Care Plan Completed: Percentage of demonstration-eligible Medicare-Medicaid enrollees who are enrolled with a care coordination entity and had a care plan completed within 90 days of enrollment with a care coordination entity</w:t>
            </w:r>
            <w:r w:rsidRPr="003A5859">
              <w:rPr>
                <w:sz w:val="24"/>
                <w:szCs w:val="24"/>
                <w:vertAlign w:val="superscript"/>
              </w:rPr>
              <w:t>2</w:t>
            </w:r>
          </w:p>
        </w:tc>
        <w:tc>
          <w:tcPr>
            <w:tcW w:w="900" w:type="dxa"/>
          </w:tcPr>
          <w:p w14:paraId="47094001" w14:textId="7A30D4CE" w:rsidR="000420EB" w:rsidRPr="00C45C99" w:rsidRDefault="000420EB" w:rsidP="00C45C99">
            <w:pPr>
              <w:pStyle w:val="BodyText2"/>
              <w:rPr>
                <w:sz w:val="24"/>
                <w:szCs w:val="24"/>
              </w:rPr>
            </w:pPr>
            <w:r w:rsidRPr="00C04D6B">
              <w:rPr>
                <w:sz w:val="24"/>
                <w:szCs w:val="24"/>
              </w:rPr>
              <w:t>N/A</w:t>
            </w:r>
          </w:p>
        </w:tc>
        <w:tc>
          <w:tcPr>
            <w:tcW w:w="1530" w:type="dxa"/>
          </w:tcPr>
          <w:p w14:paraId="48E93D34" w14:textId="085A621D" w:rsidR="000420EB" w:rsidRPr="00C45C99" w:rsidRDefault="000420EB" w:rsidP="00C45C99">
            <w:pPr>
              <w:pStyle w:val="BodyText2"/>
              <w:rPr>
                <w:sz w:val="24"/>
                <w:szCs w:val="24"/>
              </w:rPr>
            </w:pPr>
            <w:r>
              <w:rPr>
                <w:sz w:val="24"/>
                <w:szCs w:val="24"/>
              </w:rPr>
              <w:t>Not Reported</w:t>
            </w:r>
          </w:p>
        </w:tc>
        <w:tc>
          <w:tcPr>
            <w:tcW w:w="1440" w:type="dxa"/>
          </w:tcPr>
          <w:p w14:paraId="36DDE1BD" w14:textId="77777777" w:rsidR="000420EB" w:rsidRPr="00C45C99" w:rsidRDefault="000420EB" w:rsidP="00C45C99">
            <w:pPr>
              <w:pStyle w:val="BodyText2"/>
              <w:rPr>
                <w:sz w:val="24"/>
                <w:szCs w:val="24"/>
              </w:rPr>
            </w:pPr>
            <w:r w:rsidRPr="00C45C99">
              <w:rPr>
                <w:sz w:val="24"/>
                <w:szCs w:val="24"/>
              </w:rPr>
              <w:t>Reporting</w:t>
            </w:r>
          </w:p>
        </w:tc>
      </w:tr>
      <w:tr w:rsidR="000420EB" w:rsidRPr="003A5859" w14:paraId="045FBB39" w14:textId="77777777" w:rsidTr="000420EB">
        <w:trPr>
          <w:trHeight w:val="530"/>
        </w:trPr>
        <w:tc>
          <w:tcPr>
            <w:tcW w:w="1170" w:type="dxa"/>
          </w:tcPr>
          <w:p w14:paraId="2FD020E4" w14:textId="77777777" w:rsidR="000420EB" w:rsidRPr="003A5859" w:rsidRDefault="000420EB" w:rsidP="00A56CD4">
            <w:pPr>
              <w:pStyle w:val="BodyText2"/>
              <w:rPr>
                <w:sz w:val="24"/>
                <w:szCs w:val="24"/>
              </w:rPr>
            </w:pPr>
            <w:r w:rsidRPr="003A5859">
              <w:rPr>
                <w:sz w:val="24"/>
                <w:szCs w:val="24"/>
              </w:rPr>
              <w:t>A.11</w:t>
            </w:r>
          </w:p>
        </w:tc>
        <w:tc>
          <w:tcPr>
            <w:tcW w:w="8280" w:type="dxa"/>
            <w:gridSpan w:val="2"/>
            <w:tcBorders>
              <w:bottom w:val="single" w:sz="4" w:space="0" w:color="auto"/>
            </w:tcBorders>
          </w:tcPr>
          <w:p w14:paraId="5E8A874B" w14:textId="793F4C83" w:rsidR="000420EB" w:rsidRPr="003A5859" w:rsidRDefault="000420EB" w:rsidP="00A56CD4">
            <w:pPr>
              <w:pStyle w:val="BodyText2"/>
              <w:rPr>
                <w:sz w:val="24"/>
                <w:szCs w:val="24"/>
              </w:rPr>
            </w:pPr>
            <w:r w:rsidRPr="003A5859">
              <w:rPr>
                <w:sz w:val="24"/>
                <w:szCs w:val="24"/>
              </w:rPr>
              <w:t>Mental Health Penetration: Percentage of beneficiaries with mental health service need who received mental health service</w:t>
            </w:r>
            <w:r w:rsidRPr="003A5859">
              <w:rPr>
                <w:sz w:val="24"/>
                <w:szCs w:val="24"/>
                <w:vertAlign w:val="superscript"/>
              </w:rPr>
              <w:t>3</w:t>
            </w:r>
          </w:p>
        </w:tc>
        <w:tc>
          <w:tcPr>
            <w:tcW w:w="900" w:type="dxa"/>
            <w:tcBorders>
              <w:bottom w:val="single" w:sz="4" w:space="0" w:color="auto"/>
            </w:tcBorders>
          </w:tcPr>
          <w:p w14:paraId="2F9E3B75" w14:textId="3E60E24A" w:rsidR="000420EB" w:rsidRPr="00C45C99" w:rsidRDefault="000420EB" w:rsidP="00A56CD4">
            <w:pPr>
              <w:pStyle w:val="BodyText2"/>
              <w:rPr>
                <w:sz w:val="24"/>
                <w:szCs w:val="24"/>
              </w:rPr>
            </w:pPr>
            <w:r w:rsidRPr="00C04D6B">
              <w:rPr>
                <w:sz w:val="24"/>
                <w:szCs w:val="24"/>
              </w:rPr>
              <w:t>N/A</w:t>
            </w:r>
          </w:p>
        </w:tc>
        <w:tc>
          <w:tcPr>
            <w:tcW w:w="1530" w:type="dxa"/>
            <w:tcBorders>
              <w:bottom w:val="single" w:sz="4" w:space="0" w:color="auto"/>
            </w:tcBorders>
          </w:tcPr>
          <w:p w14:paraId="645BC2A8" w14:textId="006745B9" w:rsidR="000420EB" w:rsidRPr="00C45C99" w:rsidRDefault="000420EB" w:rsidP="00A56CD4">
            <w:pPr>
              <w:pStyle w:val="BodyText2"/>
              <w:rPr>
                <w:sz w:val="24"/>
                <w:szCs w:val="24"/>
              </w:rPr>
            </w:pPr>
            <w:r w:rsidRPr="00805E9A">
              <w:rPr>
                <w:sz w:val="24"/>
                <w:szCs w:val="24"/>
              </w:rPr>
              <w:t>Not Reported</w:t>
            </w:r>
          </w:p>
        </w:tc>
        <w:tc>
          <w:tcPr>
            <w:tcW w:w="1440" w:type="dxa"/>
            <w:tcBorders>
              <w:bottom w:val="single" w:sz="4" w:space="0" w:color="auto"/>
            </w:tcBorders>
          </w:tcPr>
          <w:p w14:paraId="2F4787FD" w14:textId="14EA6F73" w:rsidR="000420EB" w:rsidRPr="00C45C99" w:rsidRDefault="000420EB" w:rsidP="00A56CD4">
            <w:pPr>
              <w:pStyle w:val="BodyText2"/>
              <w:rPr>
                <w:sz w:val="24"/>
                <w:szCs w:val="24"/>
              </w:rPr>
            </w:pPr>
            <w:r w:rsidRPr="00805E9A">
              <w:rPr>
                <w:sz w:val="24"/>
                <w:szCs w:val="24"/>
              </w:rPr>
              <w:t>Not Reported</w:t>
            </w:r>
          </w:p>
        </w:tc>
      </w:tr>
      <w:tr w:rsidR="000420EB" w:rsidRPr="003A5859" w14:paraId="2ED05B3C" w14:textId="77777777" w:rsidTr="000420EB">
        <w:tc>
          <w:tcPr>
            <w:tcW w:w="6300" w:type="dxa"/>
            <w:gridSpan w:val="2"/>
            <w:tcBorders>
              <w:right w:val="nil"/>
            </w:tcBorders>
            <w:shd w:val="clear" w:color="auto" w:fill="F2F2F2" w:themeFill="background1" w:themeFillShade="F2"/>
          </w:tcPr>
          <w:p w14:paraId="4CE3BC65" w14:textId="2EAB6C28" w:rsidR="000420EB" w:rsidRPr="003A5859" w:rsidRDefault="000420EB" w:rsidP="00A90998">
            <w:pPr>
              <w:pStyle w:val="BodyText2"/>
              <w:rPr>
                <w:sz w:val="24"/>
                <w:szCs w:val="24"/>
              </w:rPr>
            </w:pPr>
            <w:r w:rsidRPr="003A5859">
              <w:rPr>
                <w:b/>
                <w:sz w:val="24"/>
                <w:szCs w:val="24"/>
              </w:rPr>
              <w:t>State-Specific Process Measures</w:t>
            </w:r>
          </w:p>
        </w:tc>
        <w:tc>
          <w:tcPr>
            <w:tcW w:w="4050" w:type="dxa"/>
            <w:gridSpan w:val="2"/>
            <w:tcBorders>
              <w:left w:val="nil"/>
              <w:right w:val="nil"/>
            </w:tcBorders>
            <w:shd w:val="clear" w:color="auto" w:fill="F2F2F2" w:themeFill="background1" w:themeFillShade="F2"/>
          </w:tcPr>
          <w:p w14:paraId="57BF3F77" w14:textId="77777777" w:rsidR="000420EB" w:rsidRPr="003A5859" w:rsidRDefault="000420EB" w:rsidP="00A90998">
            <w:pPr>
              <w:pStyle w:val="BodyText2"/>
              <w:rPr>
                <w:sz w:val="24"/>
                <w:szCs w:val="24"/>
              </w:rPr>
            </w:pPr>
          </w:p>
        </w:tc>
        <w:tc>
          <w:tcPr>
            <w:tcW w:w="1530" w:type="dxa"/>
            <w:tcBorders>
              <w:left w:val="nil"/>
              <w:right w:val="nil"/>
            </w:tcBorders>
            <w:shd w:val="clear" w:color="auto" w:fill="F2F2F2" w:themeFill="background1" w:themeFillShade="F2"/>
          </w:tcPr>
          <w:p w14:paraId="5EF28ABA" w14:textId="77777777" w:rsidR="000420EB" w:rsidRPr="003A5859" w:rsidRDefault="000420EB" w:rsidP="00A90998">
            <w:pPr>
              <w:pStyle w:val="BodyText2"/>
              <w:rPr>
                <w:sz w:val="24"/>
                <w:szCs w:val="24"/>
              </w:rPr>
            </w:pPr>
          </w:p>
        </w:tc>
        <w:tc>
          <w:tcPr>
            <w:tcW w:w="1440" w:type="dxa"/>
            <w:tcBorders>
              <w:left w:val="nil"/>
              <w:right w:val="nil"/>
            </w:tcBorders>
            <w:shd w:val="clear" w:color="auto" w:fill="F2F2F2" w:themeFill="background1" w:themeFillShade="F2"/>
          </w:tcPr>
          <w:p w14:paraId="19C0DAE3" w14:textId="77777777" w:rsidR="000420EB" w:rsidRPr="003A5859" w:rsidRDefault="000420EB" w:rsidP="00A90998">
            <w:pPr>
              <w:pStyle w:val="BodyText2"/>
              <w:rPr>
                <w:sz w:val="24"/>
                <w:szCs w:val="24"/>
              </w:rPr>
            </w:pPr>
          </w:p>
        </w:tc>
      </w:tr>
      <w:tr w:rsidR="000420EB" w:rsidRPr="003A5859" w14:paraId="335F65E4" w14:textId="77777777" w:rsidTr="000420EB">
        <w:tc>
          <w:tcPr>
            <w:tcW w:w="1170" w:type="dxa"/>
          </w:tcPr>
          <w:p w14:paraId="0A48CAD7" w14:textId="77777777" w:rsidR="000420EB" w:rsidRPr="003A5859" w:rsidRDefault="000420EB" w:rsidP="00A90998">
            <w:pPr>
              <w:pStyle w:val="BodyText2"/>
              <w:rPr>
                <w:sz w:val="24"/>
                <w:szCs w:val="24"/>
              </w:rPr>
            </w:pPr>
            <w:r w:rsidRPr="003A5859">
              <w:rPr>
                <w:sz w:val="24"/>
                <w:szCs w:val="24"/>
              </w:rPr>
              <w:t>B.1</w:t>
            </w:r>
          </w:p>
        </w:tc>
        <w:tc>
          <w:tcPr>
            <w:tcW w:w="8280" w:type="dxa"/>
            <w:gridSpan w:val="2"/>
          </w:tcPr>
          <w:p w14:paraId="259A5CDE" w14:textId="6EF6EF49" w:rsidR="000420EB" w:rsidRPr="003A5859" w:rsidRDefault="000420EB" w:rsidP="00D01D16">
            <w:pPr>
              <w:pStyle w:val="BodyText2"/>
              <w:rPr>
                <w:sz w:val="24"/>
                <w:szCs w:val="24"/>
              </w:rPr>
            </w:pPr>
            <w:r w:rsidRPr="003A5859">
              <w:rPr>
                <w:sz w:val="24"/>
              </w:rPr>
              <w:t>Health Action Plans: Percentage of beneficiaries with Health Action Plans within 90 days of enrollment</w:t>
            </w:r>
            <w:r w:rsidRPr="003A5859">
              <w:rPr>
                <w:sz w:val="24"/>
                <w:vertAlign w:val="superscript"/>
              </w:rPr>
              <w:t>4</w:t>
            </w:r>
          </w:p>
        </w:tc>
        <w:tc>
          <w:tcPr>
            <w:tcW w:w="900" w:type="dxa"/>
          </w:tcPr>
          <w:p w14:paraId="2D6C10E0" w14:textId="25D609AD" w:rsidR="000420EB" w:rsidRPr="00C45C99" w:rsidRDefault="000420EB" w:rsidP="00A90998">
            <w:pPr>
              <w:pStyle w:val="BodyText2"/>
              <w:rPr>
                <w:sz w:val="24"/>
                <w:szCs w:val="24"/>
              </w:rPr>
            </w:pPr>
            <w:r>
              <w:rPr>
                <w:sz w:val="24"/>
                <w:szCs w:val="24"/>
              </w:rPr>
              <w:t>N/A</w:t>
            </w:r>
          </w:p>
        </w:tc>
        <w:tc>
          <w:tcPr>
            <w:tcW w:w="1530" w:type="dxa"/>
          </w:tcPr>
          <w:p w14:paraId="25D0379F" w14:textId="6A2960D0" w:rsidR="000420EB" w:rsidRPr="00C45C99" w:rsidRDefault="000420EB" w:rsidP="00A90998">
            <w:pPr>
              <w:pStyle w:val="BodyText2"/>
              <w:rPr>
                <w:sz w:val="24"/>
                <w:szCs w:val="24"/>
              </w:rPr>
            </w:pPr>
            <w:r w:rsidRPr="00C45C99">
              <w:rPr>
                <w:sz w:val="24"/>
                <w:szCs w:val="24"/>
              </w:rPr>
              <w:t>Reporting</w:t>
            </w:r>
          </w:p>
        </w:tc>
        <w:tc>
          <w:tcPr>
            <w:tcW w:w="1440" w:type="dxa"/>
          </w:tcPr>
          <w:p w14:paraId="3FF284DC" w14:textId="25896EA8" w:rsidR="000420EB" w:rsidRPr="00C45C99" w:rsidRDefault="000420EB" w:rsidP="00A90998">
            <w:pPr>
              <w:pStyle w:val="BodyText2"/>
              <w:rPr>
                <w:sz w:val="24"/>
                <w:szCs w:val="24"/>
              </w:rPr>
            </w:pPr>
            <w:r w:rsidRPr="00C45C99">
              <w:rPr>
                <w:sz w:val="24"/>
                <w:szCs w:val="24"/>
              </w:rPr>
              <w:t>Retired</w:t>
            </w:r>
          </w:p>
        </w:tc>
      </w:tr>
      <w:tr w:rsidR="000420EB" w:rsidRPr="003A5859" w14:paraId="6D8104F8" w14:textId="77777777" w:rsidTr="000420EB">
        <w:tc>
          <w:tcPr>
            <w:tcW w:w="1170" w:type="dxa"/>
          </w:tcPr>
          <w:p w14:paraId="6DD49F69" w14:textId="77777777" w:rsidR="000420EB" w:rsidRPr="003A5859" w:rsidRDefault="000420EB" w:rsidP="00C45C99">
            <w:pPr>
              <w:pStyle w:val="BodyText2"/>
              <w:rPr>
                <w:sz w:val="24"/>
                <w:szCs w:val="24"/>
              </w:rPr>
            </w:pPr>
            <w:r w:rsidRPr="003A5859">
              <w:rPr>
                <w:sz w:val="24"/>
                <w:szCs w:val="24"/>
              </w:rPr>
              <w:t>B.2</w:t>
            </w:r>
          </w:p>
        </w:tc>
        <w:tc>
          <w:tcPr>
            <w:tcW w:w="8280" w:type="dxa"/>
            <w:gridSpan w:val="2"/>
          </w:tcPr>
          <w:p w14:paraId="10F47935" w14:textId="77777777" w:rsidR="000420EB" w:rsidRPr="003A5859" w:rsidRDefault="000420EB" w:rsidP="00C45C99">
            <w:pPr>
              <w:pStyle w:val="BodyText2"/>
              <w:rPr>
                <w:sz w:val="24"/>
                <w:szCs w:val="24"/>
              </w:rPr>
            </w:pPr>
            <w:r w:rsidRPr="003A5859">
              <w:rPr>
                <w:sz w:val="24"/>
              </w:rPr>
              <w:t>Training: Delivery of standardized state training for Health Home Care Coordinators on the Health Action Plan</w:t>
            </w:r>
          </w:p>
        </w:tc>
        <w:tc>
          <w:tcPr>
            <w:tcW w:w="900" w:type="dxa"/>
          </w:tcPr>
          <w:p w14:paraId="30A0F99A" w14:textId="046D06C5" w:rsidR="000420EB" w:rsidRPr="00C45C99" w:rsidRDefault="000420EB" w:rsidP="00C45C99">
            <w:pPr>
              <w:pStyle w:val="BodyText2"/>
              <w:rPr>
                <w:sz w:val="24"/>
                <w:szCs w:val="24"/>
              </w:rPr>
            </w:pPr>
            <w:r w:rsidRPr="000A5137">
              <w:rPr>
                <w:sz w:val="24"/>
                <w:szCs w:val="24"/>
              </w:rPr>
              <w:t>N/A</w:t>
            </w:r>
          </w:p>
        </w:tc>
        <w:tc>
          <w:tcPr>
            <w:tcW w:w="1530" w:type="dxa"/>
          </w:tcPr>
          <w:p w14:paraId="2A94694E" w14:textId="640A2E0C" w:rsidR="000420EB" w:rsidRPr="00C45C99" w:rsidRDefault="000420EB" w:rsidP="00C45C99">
            <w:pPr>
              <w:pStyle w:val="BodyText2"/>
              <w:rPr>
                <w:sz w:val="24"/>
                <w:szCs w:val="24"/>
              </w:rPr>
            </w:pPr>
            <w:r w:rsidRPr="00C45C99">
              <w:rPr>
                <w:sz w:val="24"/>
                <w:szCs w:val="24"/>
              </w:rPr>
              <w:t>Reporting</w:t>
            </w:r>
          </w:p>
        </w:tc>
        <w:tc>
          <w:tcPr>
            <w:tcW w:w="1440" w:type="dxa"/>
          </w:tcPr>
          <w:p w14:paraId="1A989F71"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3BC915BA" w14:textId="77777777" w:rsidTr="000420EB">
        <w:tc>
          <w:tcPr>
            <w:tcW w:w="1170" w:type="dxa"/>
            <w:tcBorders>
              <w:bottom w:val="single" w:sz="4" w:space="0" w:color="auto"/>
            </w:tcBorders>
          </w:tcPr>
          <w:p w14:paraId="09A8A1D2" w14:textId="77777777" w:rsidR="000420EB" w:rsidRPr="003A5859" w:rsidRDefault="000420EB" w:rsidP="00C45C99">
            <w:pPr>
              <w:pStyle w:val="BodyText2"/>
              <w:rPr>
                <w:sz w:val="24"/>
                <w:szCs w:val="24"/>
              </w:rPr>
            </w:pPr>
            <w:r w:rsidRPr="003A5859">
              <w:rPr>
                <w:sz w:val="24"/>
                <w:szCs w:val="24"/>
              </w:rPr>
              <w:t>B.3</w:t>
            </w:r>
          </w:p>
        </w:tc>
        <w:tc>
          <w:tcPr>
            <w:tcW w:w="8280" w:type="dxa"/>
            <w:gridSpan w:val="2"/>
            <w:tcBorders>
              <w:bottom w:val="single" w:sz="4" w:space="0" w:color="auto"/>
            </w:tcBorders>
          </w:tcPr>
          <w:p w14:paraId="2554B55B" w14:textId="77777777" w:rsidR="000420EB" w:rsidRPr="003A5859" w:rsidRDefault="000420EB" w:rsidP="00C45C99">
            <w:pPr>
              <w:pStyle w:val="BodyText2"/>
              <w:rPr>
                <w:sz w:val="24"/>
                <w:szCs w:val="24"/>
              </w:rPr>
            </w:pPr>
            <w:r w:rsidRPr="003A5859">
              <w:rPr>
                <w:sz w:val="24"/>
              </w:rPr>
              <w:t>Discharge Follow-up: Percentage of demonstration-eligible beneficiaries with 30 days between hospital discharge to first follow-up visit</w:t>
            </w:r>
          </w:p>
        </w:tc>
        <w:tc>
          <w:tcPr>
            <w:tcW w:w="900" w:type="dxa"/>
            <w:tcBorders>
              <w:bottom w:val="single" w:sz="4" w:space="0" w:color="auto"/>
            </w:tcBorders>
          </w:tcPr>
          <w:p w14:paraId="284E497F" w14:textId="65A95429" w:rsidR="000420EB" w:rsidRPr="00C45C99" w:rsidRDefault="000420EB" w:rsidP="00C45C99">
            <w:pPr>
              <w:pStyle w:val="BodyText2"/>
              <w:rPr>
                <w:sz w:val="24"/>
                <w:szCs w:val="24"/>
              </w:rPr>
            </w:pPr>
            <w:r w:rsidRPr="000A5137">
              <w:rPr>
                <w:sz w:val="24"/>
                <w:szCs w:val="24"/>
              </w:rPr>
              <w:t>N/A</w:t>
            </w:r>
          </w:p>
        </w:tc>
        <w:tc>
          <w:tcPr>
            <w:tcW w:w="1530" w:type="dxa"/>
            <w:tcBorders>
              <w:bottom w:val="single" w:sz="4" w:space="0" w:color="auto"/>
            </w:tcBorders>
          </w:tcPr>
          <w:p w14:paraId="5E6648B4" w14:textId="1626153A" w:rsidR="000420EB" w:rsidRPr="00C45C99" w:rsidRDefault="000420EB" w:rsidP="00C45C99">
            <w:pPr>
              <w:pStyle w:val="BodyText2"/>
              <w:rPr>
                <w:sz w:val="24"/>
                <w:szCs w:val="24"/>
              </w:rPr>
            </w:pPr>
            <w:r w:rsidRPr="00C45C99">
              <w:rPr>
                <w:sz w:val="24"/>
                <w:szCs w:val="24"/>
              </w:rPr>
              <w:t>Reporting</w:t>
            </w:r>
          </w:p>
        </w:tc>
        <w:tc>
          <w:tcPr>
            <w:tcW w:w="1440" w:type="dxa"/>
            <w:tcBorders>
              <w:bottom w:val="single" w:sz="4" w:space="0" w:color="auto"/>
            </w:tcBorders>
          </w:tcPr>
          <w:p w14:paraId="15000ABE" w14:textId="4E091B93" w:rsidR="000420EB" w:rsidRPr="00C45C99" w:rsidRDefault="000420EB" w:rsidP="00C45C99">
            <w:pPr>
              <w:pStyle w:val="BodyText2"/>
              <w:rPr>
                <w:sz w:val="24"/>
                <w:szCs w:val="24"/>
              </w:rPr>
            </w:pPr>
            <w:r w:rsidRPr="00C45C99">
              <w:rPr>
                <w:sz w:val="24"/>
                <w:szCs w:val="24"/>
              </w:rPr>
              <w:t>Reporting</w:t>
            </w:r>
          </w:p>
        </w:tc>
      </w:tr>
      <w:tr w:rsidR="000420EB" w:rsidRPr="003A5859" w14:paraId="3247A14D" w14:textId="77777777" w:rsidTr="000420EB">
        <w:tc>
          <w:tcPr>
            <w:tcW w:w="1170" w:type="dxa"/>
          </w:tcPr>
          <w:p w14:paraId="645ABEA2" w14:textId="77777777" w:rsidR="000420EB" w:rsidRPr="003A5859" w:rsidRDefault="000420EB" w:rsidP="00C45C99">
            <w:pPr>
              <w:pStyle w:val="BodyText2"/>
              <w:rPr>
                <w:sz w:val="24"/>
                <w:szCs w:val="24"/>
              </w:rPr>
            </w:pPr>
            <w:r w:rsidRPr="003A5859">
              <w:rPr>
                <w:sz w:val="24"/>
                <w:szCs w:val="24"/>
              </w:rPr>
              <w:lastRenderedPageBreak/>
              <w:t>C.1</w:t>
            </w:r>
          </w:p>
        </w:tc>
        <w:tc>
          <w:tcPr>
            <w:tcW w:w="8280" w:type="dxa"/>
            <w:gridSpan w:val="2"/>
          </w:tcPr>
          <w:p w14:paraId="085026C5" w14:textId="77777777" w:rsidR="000420EB" w:rsidRPr="003A5859" w:rsidRDefault="000420EB" w:rsidP="00C45C99">
            <w:pPr>
              <w:pStyle w:val="BodyText2"/>
              <w:rPr>
                <w:sz w:val="24"/>
                <w:szCs w:val="24"/>
              </w:rPr>
            </w:pPr>
            <w:r w:rsidRPr="003A5859">
              <w:rPr>
                <w:sz w:val="24"/>
              </w:rPr>
              <w:t>Average change in Patient Activation Measure (PAM) score for participating Medicare-Medicaid Enrollees who initially were least activated</w:t>
            </w:r>
          </w:p>
        </w:tc>
        <w:tc>
          <w:tcPr>
            <w:tcW w:w="900" w:type="dxa"/>
          </w:tcPr>
          <w:p w14:paraId="51279542" w14:textId="5BE93A31" w:rsidR="000420EB" w:rsidRPr="00C45C99" w:rsidRDefault="000420EB" w:rsidP="00C45C99">
            <w:pPr>
              <w:pStyle w:val="BodyText2"/>
              <w:rPr>
                <w:sz w:val="24"/>
                <w:szCs w:val="24"/>
              </w:rPr>
            </w:pPr>
            <w:r w:rsidRPr="00EE30A2">
              <w:rPr>
                <w:sz w:val="24"/>
                <w:szCs w:val="24"/>
              </w:rPr>
              <w:t>N/A</w:t>
            </w:r>
          </w:p>
        </w:tc>
        <w:tc>
          <w:tcPr>
            <w:tcW w:w="1530" w:type="dxa"/>
          </w:tcPr>
          <w:p w14:paraId="7695F391" w14:textId="3261BE1C" w:rsidR="000420EB" w:rsidRPr="00C45C99" w:rsidRDefault="000420EB" w:rsidP="00C45C99">
            <w:pPr>
              <w:pStyle w:val="BodyText2"/>
              <w:rPr>
                <w:sz w:val="24"/>
                <w:szCs w:val="24"/>
              </w:rPr>
            </w:pPr>
            <w:r w:rsidRPr="00C45C99">
              <w:rPr>
                <w:sz w:val="24"/>
                <w:szCs w:val="24"/>
              </w:rPr>
              <w:t>Reporting</w:t>
            </w:r>
          </w:p>
        </w:tc>
        <w:tc>
          <w:tcPr>
            <w:tcW w:w="1440" w:type="dxa"/>
          </w:tcPr>
          <w:p w14:paraId="71AE05C6"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216D3E7F" w14:textId="77777777" w:rsidTr="000420EB">
        <w:tc>
          <w:tcPr>
            <w:tcW w:w="1170" w:type="dxa"/>
          </w:tcPr>
          <w:p w14:paraId="0103D7AD" w14:textId="77777777" w:rsidR="000420EB" w:rsidRPr="003A5859" w:rsidRDefault="000420EB" w:rsidP="00C45C99">
            <w:pPr>
              <w:pStyle w:val="BodyText2"/>
              <w:rPr>
                <w:sz w:val="24"/>
                <w:szCs w:val="24"/>
              </w:rPr>
            </w:pPr>
            <w:r w:rsidRPr="003A5859">
              <w:rPr>
                <w:sz w:val="24"/>
                <w:szCs w:val="24"/>
              </w:rPr>
              <w:t>C.2</w:t>
            </w:r>
          </w:p>
        </w:tc>
        <w:tc>
          <w:tcPr>
            <w:tcW w:w="8280" w:type="dxa"/>
            <w:gridSpan w:val="2"/>
          </w:tcPr>
          <w:p w14:paraId="0B75AD04" w14:textId="77777777" w:rsidR="000420EB" w:rsidRPr="003A5859" w:rsidRDefault="000420EB" w:rsidP="00C45C99">
            <w:pPr>
              <w:pStyle w:val="BodyText2"/>
              <w:rPr>
                <w:sz w:val="24"/>
                <w:szCs w:val="24"/>
              </w:rPr>
            </w:pPr>
            <w:r w:rsidRPr="003A5859">
              <w:rPr>
                <w:sz w:val="24"/>
              </w:rPr>
              <w:t>Percent of high-risk Medicare-Medicaid demonstration-eligible beneficiaries receiving community-based LTCSS</w:t>
            </w:r>
          </w:p>
        </w:tc>
        <w:tc>
          <w:tcPr>
            <w:tcW w:w="900" w:type="dxa"/>
          </w:tcPr>
          <w:p w14:paraId="5F05219A" w14:textId="1D6A5CF8" w:rsidR="000420EB" w:rsidRPr="00C45C99" w:rsidRDefault="000420EB" w:rsidP="00C45C99">
            <w:pPr>
              <w:pStyle w:val="BodyText2"/>
              <w:rPr>
                <w:sz w:val="24"/>
                <w:szCs w:val="24"/>
              </w:rPr>
            </w:pPr>
            <w:r w:rsidRPr="00EE30A2">
              <w:rPr>
                <w:sz w:val="24"/>
                <w:szCs w:val="24"/>
              </w:rPr>
              <w:t>N/A</w:t>
            </w:r>
          </w:p>
        </w:tc>
        <w:tc>
          <w:tcPr>
            <w:tcW w:w="1530" w:type="dxa"/>
          </w:tcPr>
          <w:p w14:paraId="62E70143" w14:textId="20881208" w:rsidR="000420EB" w:rsidRPr="00C45C99" w:rsidRDefault="000420EB" w:rsidP="00C45C99">
            <w:pPr>
              <w:pStyle w:val="BodyText2"/>
              <w:rPr>
                <w:sz w:val="24"/>
                <w:szCs w:val="24"/>
              </w:rPr>
            </w:pPr>
            <w:r w:rsidRPr="00C45C99">
              <w:rPr>
                <w:sz w:val="24"/>
                <w:szCs w:val="24"/>
              </w:rPr>
              <w:t>Reporting</w:t>
            </w:r>
          </w:p>
        </w:tc>
        <w:tc>
          <w:tcPr>
            <w:tcW w:w="1440" w:type="dxa"/>
          </w:tcPr>
          <w:p w14:paraId="53284BE5"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2FB82D41" w14:textId="77777777" w:rsidTr="000420EB">
        <w:tc>
          <w:tcPr>
            <w:tcW w:w="1170" w:type="dxa"/>
          </w:tcPr>
          <w:p w14:paraId="77035517" w14:textId="77777777" w:rsidR="000420EB" w:rsidRPr="003A5859" w:rsidRDefault="000420EB" w:rsidP="00A90998">
            <w:pPr>
              <w:pStyle w:val="BodyText2"/>
              <w:rPr>
                <w:sz w:val="24"/>
                <w:szCs w:val="24"/>
              </w:rPr>
            </w:pPr>
            <w:r w:rsidRPr="003A5859">
              <w:rPr>
                <w:sz w:val="24"/>
                <w:szCs w:val="24"/>
              </w:rPr>
              <w:t>C.3</w:t>
            </w:r>
          </w:p>
        </w:tc>
        <w:tc>
          <w:tcPr>
            <w:tcW w:w="8280" w:type="dxa"/>
            <w:gridSpan w:val="2"/>
          </w:tcPr>
          <w:p w14:paraId="55E45415" w14:textId="77777777" w:rsidR="000420EB" w:rsidRPr="003A5859" w:rsidRDefault="000420EB" w:rsidP="00A90998">
            <w:pPr>
              <w:pStyle w:val="BodyText2"/>
              <w:rPr>
                <w:sz w:val="24"/>
                <w:szCs w:val="24"/>
              </w:rPr>
            </w:pPr>
            <w:r w:rsidRPr="003A5859">
              <w:rPr>
                <w:sz w:val="24"/>
              </w:rPr>
              <w:t>Percent of high-risk Medicare-Medicaid demonstration-eligible beneficiaries receiving institutional long term care services</w:t>
            </w:r>
          </w:p>
        </w:tc>
        <w:tc>
          <w:tcPr>
            <w:tcW w:w="900" w:type="dxa"/>
          </w:tcPr>
          <w:p w14:paraId="6B6A9A97" w14:textId="147D508A" w:rsidR="000420EB" w:rsidRPr="00C45C99" w:rsidRDefault="000420EB" w:rsidP="00A90998">
            <w:pPr>
              <w:pStyle w:val="BodyText2"/>
              <w:rPr>
                <w:sz w:val="24"/>
                <w:szCs w:val="24"/>
              </w:rPr>
            </w:pPr>
            <w:r>
              <w:rPr>
                <w:sz w:val="24"/>
                <w:szCs w:val="24"/>
              </w:rPr>
              <w:t>N/A</w:t>
            </w:r>
          </w:p>
        </w:tc>
        <w:tc>
          <w:tcPr>
            <w:tcW w:w="1530" w:type="dxa"/>
          </w:tcPr>
          <w:p w14:paraId="73B99381" w14:textId="36075F01" w:rsidR="000420EB" w:rsidRPr="00C45C99" w:rsidRDefault="000420EB" w:rsidP="00A90998">
            <w:pPr>
              <w:pStyle w:val="BodyText2"/>
              <w:rPr>
                <w:sz w:val="24"/>
                <w:szCs w:val="24"/>
              </w:rPr>
            </w:pPr>
            <w:r w:rsidRPr="00C45C99">
              <w:rPr>
                <w:sz w:val="24"/>
                <w:szCs w:val="24"/>
              </w:rPr>
              <w:t>Reporting</w:t>
            </w:r>
          </w:p>
        </w:tc>
        <w:tc>
          <w:tcPr>
            <w:tcW w:w="1440" w:type="dxa"/>
          </w:tcPr>
          <w:p w14:paraId="315CB76C" w14:textId="77777777" w:rsidR="000420EB" w:rsidRPr="00C45C99" w:rsidRDefault="000420EB" w:rsidP="00A90998">
            <w:pPr>
              <w:pStyle w:val="BodyText2"/>
              <w:rPr>
                <w:sz w:val="24"/>
                <w:szCs w:val="24"/>
              </w:rPr>
            </w:pPr>
            <w:r w:rsidRPr="00C45C99">
              <w:rPr>
                <w:sz w:val="24"/>
                <w:szCs w:val="24"/>
              </w:rPr>
              <w:t>Benchmark</w:t>
            </w:r>
          </w:p>
        </w:tc>
      </w:tr>
    </w:tbl>
    <w:p w14:paraId="47ACD6FA" w14:textId="66A750C7" w:rsidR="00A83A7D" w:rsidRPr="003A5859" w:rsidRDefault="00A83A7D" w:rsidP="00A83A7D">
      <w:pPr>
        <w:rPr>
          <w:sz w:val="20"/>
          <w:szCs w:val="20"/>
        </w:rPr>
      </w:pPr>
    </w:p>
    <w:p w14:paraId="28BE67D3" w14:textId="5DCDC502" w:rsidR="00DD72DF" w:rsidRPr="003A5859" w:rsidRDefault="00DD72DF" w:rsidP="00DD72DF">
      <w:pPr>
        <w:ind w:left="-450"/>
        <w:rPr>
          <w:sz w:val="20"/>
          <w:szCs w:val="20"/>
        </w:rPr>
      </w:pPr>
      <w:r w:rsidRPr="003A5859">
        <w:rPr>
          <w:sz w:val="20"/>
          <w:szCs w:val="20"/>
        </w:rPr>
        <w:t>Note: CMS has retired the following measures and no reporting is required for these measures for the Demonstration: A.5 (Depression screening and follow up care, #0418); and A.6 (Care transition record transmitted to health care professional, NQF #648).</w:t>
      </w:r>
    </w:p>
    <w:p w14:paraId="2BA1E2D2" w14:textId="7B5F94B6" w:rsidR="00DD72DF" w:rsidRDefault="00DD72DF" w:rsidP="00DD72DF">
      <w:pPr>
        <w:ind w:left="-450"/>
        <w:rPr>
          <w:sz w:val="20"/>
          <w:szCs w:val="20"/>
        </w:rPr>
      </w:pPr>
      <w:r w:rsidRPr="00B015F5">
        <w:rPr>
          <w:sz w:val="20"/>
          <w:szCs w:val="20"/>
        </w:rPr>
        <w:t>1. All rates must be reported to meet the complete and accurate reporting requirements for this measure. The benchmark for the measure will be based on the final calculation of Rate #4, “The percentage of enrollees who were willing to participate and who could be reached who had an assessment completed within 90 days of enrollment”.</w:t>
      </w:r>
    </w:p>
    <w:p w14:paraId="7C874B9B" w14:textId="608E1037" w:rsidR="00DD72DF" w:rsidRPr="00B015F5" w:rsidRDefault="00DD72DF" w:rsidP="00DD72DF">
      <w:pPr>
        <w:ind w:left="-450"/>
        <w:rPr>
          <w:sz w:val="20"/>
          <w:szCs w:val="20"/>
        </w:rPr>
      </w:pPr>
      <w:r w:rsidRPr="00B015F5">
        <w:rPr>
          <w:sz w:val="20"/>
          <w:szCs w:val="20"/>
        </w:rPr>
        <w:t>2. All rates must be reported to meet the complete and accurate reporting requirements for this measure. The benchmark for the measure will be based on the final calculation of Rate #4, “The percentage of enrollees who were willing to participate and who could be reached who had a plan of care within 90 days of enrollment</w:t>
      </w:r>
      <w:r>
        <w:rPr>
          <w:sz w:val="20"/>
          <w:szCs w:val="20"/>
        </w:rPr>
        <w:t>.</w:t>
      </w:r>
      <w:r w:rsidRPr="00B015F5">
        <w:rPr>
          <w:sz w:val="20"/>
          <w:szCs w:val="20"/>
        </w:rPr>
        <w:t>”</w:t>
      </w:r>
    </w:p>
    <w:p w14:paraId="6D6C77C9" w14:textId="40BEF0B4" w:rsidR="00DD72DF" w:rsidRPr="00B015F5" w:rsidRDefault="00DD72DF" w:rsidP="00DD72DF">
      <w:pPr>
        <w:ind w:left="-450"/>
        <w:rPr>
          <w:sz w:val="20"/>
          <w:szCs w:val="20"/>
        </w:rPr>
      </w:pPr>
      <w:r w:rsidRPr="00B015F5">
        <w:rPr>
          <w:sz w:val="20"/>
        </w:rPr>
        <w:t xml:space="preserve">3. CMS has retired collection of the Screening for Fall Risk measure (A.7) as of Demonstration </w:t>
      </w:r>
      <w:r>
        <w:rPr>
          <w:sz w:val="20"/>
        </w:rPr>
        <w:t>Y</w:t>
      </w:r>
      <w:r w:rsidRPr="00B015F5">
        <w:rPr>
          <w:sz w:val="20"/>
        </w:rPr>
        <w:t>ear 5 and this measure will not be reported in Region 2</w:t>
      </w:r>
      <w:r w:rsidR="003043BF" w:rsidRPr="00B015F5">
        <w:rPr>
          <w:sz w:val="20"/>
        </w:rPr>
        <w:t xml:space="preserve">. </w:t>
      </w:r>
      <w:r w:rsidRPr="00B015F5">
        <w:rPr>
          <w:sz w:val="20"/>
        </w:rPr>
        <w:t>This measure has been replaced by the Mental Health Penetration Measure (A.11).</w:t>
      </w:r>
    </w:p>
    <w:p w14:paraId="753C4B3C" w14:textId="2980CB13" w:rsidR="00DD72DF" w:rsidRPr="00B015F5" w:rsidRDefault="00DD72DF" w:rsidP="00DD72DF">
      <w:pPr>
        <w:ind w:left="-450"/>
        <w:rPr>
          <w:sz w:val="20"/>
          <w:szCs w:val="20"/>
        </w:rPr>
      </w:pPr>
      <w:r w:rsidRPr="00B015F5">
        <w:rPr>
          <w:sz w:val="20"/>
          <w:szCs w:val="20"/>
        </w:rPr>
        <w:t xml:space="preserve">4. This measure is retired as of Demonstration </w:t>
      </w:r>
      <w:r w:rsidRPr="00416456">
        <w:rPr>
          <w:sz w:val="20"/>
          <w:szCs w:val="20"/>
        </w:rPr>
        <w:t>Year 5 due to reporting and benchmarking of the following two measures under Model Core Measures as of Demonstration Year 5: Enrollees with an Assessment Completed (A.9) and Enrollees with a Care Plan Completed (A.10).</w:t>
      </w:r>
    </w:p>
    <w:p w14:paraId="65F13FBE" w14:textId="77777777" w:rsidR="00A83A7D" w:rsidRDefault="00A83A7D" w:rsidP="00D652B3">
      <w:pPr>
        <w:pStyle w:val="BodyText2"/>
        <w:spacing w:after="480" w:line="360" w:lineRule="auto"/>
        <w:rPr>
          <w:sz w:val="24"/>
          <w:szCs w:val="24"/>
        </w:rPr>
        <w:sectPr w:rsidR="00A83A7D" w:rsidSect="00BE1F69">
          <w:endnotePr>
            <w:numFmt w:val="decimal"/>
          </w:endnotePr>
          <w:pgSz w:w="15840" w:h="12240" w:orient="landscape" w:code="1"/>
          <w:pgMar w:top="1440" w:right="1800" w:bottom="1440" w:left="1800" w:header="720" w:footer="720" w:gutter="0"/>
          <w:cols w:space="720"/>
          <w:noEndnote/>
          <w:docGrid w:linePitch="326"/>
        </w:sectPr>
      </w:pPr>
    </w:p>
    <w:p w14:paraId="7AC4FA76" w14:textId="77777777" w:rsidR="00554B3A" w:rsidRPr="002C0784" w:rsidRDefault="00554B3A" w:rsidP="002C0784">
      <w:pPr>
        <w:pStyle w:val="BodyText2"/>
        <w:numPr>
          <w:ilvl w:val="4"/>
          <w:numId w:val="36"/>
        </w:numPr>
        <w:spacing w:after="480" w:line="360" w:lineRule="auto"/>
        <w:ind w:left="4320" w:hanging="1440"/>
        <w:rPr>
          <w:sz w:val="24"/>
          <w:szCs w:val="24"/>
        </w:rPr>
      </w:pPr>
      <w:r w:rsidRPr="002C0784">
        <w:rPr>
          <w:i/>
          <w:sz w:val="24"/>
          <w:szCs w:val="24"/>
        </w:rPr>
        <w:lastRenderedPageBreak/>
        <w:t>Benchmarking and Scoring State Performance</w:t>
      </w:r>
      <w:r w:rsidRPr="002C0784">
        <w:rPr>
          <w:sz w:val="24"/>
          <w:szCs w:val="24"/>
        </w:rPr>
        <w:t>:  Benchmarks for individual measures will be determined through an analysis of national and State-specific data.</w:t>
      </w:r>
    </w:p>
    <w:p w14:paraId="71C9754E" w14:textId="77777777" w:rsidR="00554B3A" w:rsidRPr="002C0784" w:rsidRDefault="00554B3A" w:rsidP="002C0784">
      <w:pPr>
        <w:pStyle w:val="BodyText2"/>
        <w:numPr>
          <w:ilvl w:val="5"/>
          <w:numId w:val="36"/>
        </w:numPr>
        <w:spacing w:after="480" w:line="360" w:lineRule="auto"/>
        <w:ind w:left="4950"/>
        <w:rPr>
          <w:sz w:val="24"/>
          <w:szCs w:val="24"/>
        </w:rPr>
      </w:pPr>
      <w:r w:rsidRPr="002C0784">
        <w:rPr>
          <w:sz w:val="24"/>
          <w:szCs w:val="24"/>
        </w:rPr>
        <w:t>CMS and the State will establish benchmarks for the Demonstration based on the following principles:</w:t>
      </w:r>
    </w:p>
    <w:p w14:paraId="58A615AA" w14:textId="77777777" w:rsidR="002C0784" w:rsidRPr="00C23B70"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 xml:space="preserve">CMS will set benchmark levels for core measures. Once benchmark levels are set, CMS will provide the State with no less than 30 days to review the benchmark levels, </w:t>
      </w:r>
      <w:r w:rsidRPr="00C23B70">
        <w:rPr>
          <w:sz w:val="24"/>
          <w:szCs w:val="24"/>
        </w:rPr>
        <w:t>the methodological considerations, and the data supporting any baseline calculations</w:t>
      </w:r>
      <w:r w:rsidR="00B015F5" w:rsidRPr="00C23B70">
        <w:rPr>
          <w:sz w:val="24"/>
          <w:szCs w:val="24"/>
        </w:rPr>
        <w:t xml:space="preserve">, as provided in a written </w:t>
      </w:r>
      <w:r w:rsidR="00B015F5" w:rsidRPr="00B17800">
        <w:rPr>
          <w:sz w:val="24"/>
          <w:szCs w:val="24"/>
        </w:rPr>
        <w:t>notice</w:t>
      </w:r>
      <w:r w:rsidRPr="00B17800">
        <w:rPr>
          <w:sz w:val="24"/>
          <w:szCs w:val="24"/>
        </w:rPr>
        <w:t>.</w:t>
      </w:r>
    </w:p>
    <w:p w14:paraId="7699FCFC" w14:textId="22A05A3F" w:rsid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 xml:space="preserve">For State-specific process and Demonstration measures, the State will provide CMS with recommended benchmarks and supporting analysis; </w:t>
      </w:r>
      <w:r w:rsidR="0002467C">
        <w:rPr>
          <w:sz w:val="24"/>
          <w:szCs w:val="24"/>
        </w:rPr>
        <w:t xml:space="preserve">the State will provide CMS with no less than 30 days to review the recommended benchmark levels; </w:t>
      </w:r>
      <w:r w:rsidRPr="002C0784">
        <w:rPr>
          <w:sz w:val="24"/>
          <w:szCs w:val="24"/>
        </w:rPr>
        <w:t>CMS will approve the final benchmarks for these measures.</w:t>
      </w:r>
    </w:p>
    <w:p w14:paraId="0C8B54C6" w14:textId="77777777" w:rsidR="00CA160C" w:rsidRDefault="00554B3A" w:rsidP="00F72364">
      <w:pPr>
        <w:pStyle w:val="BodyText2"/>
        <w:numPr>
          <w:ilvl w:val="6"/>
          <w:numId w:val="36"/>
        </w:numPr>
        <w:tabs>
          <w:tab w:val="clear" w:pos="5040"/>
        </w:tabs>
        <w:spacing w:after="480" w:line="360" w:lineRule="auto"/>
        <w:ind w:left="5490" w:hanging="1530"/>
        <w:rPr>
          <w:sz w:val="24"/>
          <w:szCs w:val="24"/>
        </w:rPr>
      </w:pPr>
      <w:r w:rsidRPr="002C0784">
        <w:rPr>
          <w:sz w:val="24"/>
          <w:szCs w:val="24"/>
        </w:rPr>
        <w:lastRenderedPageBreak/>
        <w:t>All benchmarks will consider the population served under the Demonstration, changes in the population, and for measures in which the baseline is set from pre-Demonstration experience, the extent to which pre-Demonstration experience data is reflective of the Demonstration population.</w:t>
      </w:r>
    </w:p>
    <w:p w14:paraId="583FE1E8" w14:textId="77777777" w:rsidR="002C0784" w:rsidRPr="00B015F5" w:rsidRDefault="00554B3A" w:rsidP="00CA160C">
      <w:pPr>
        <w:pStyle w:val="BodyText2"/>
        <w:numPr>
          <w:ilvl w:val="6"/>
          <w:numId w:val="36"/>
        </w:numPr>
        <w:tabs>
          <w:tab w:val="clear" w:pos="5040"/>
        </w:tabs>
        <w:spacing w:after="480" w:line="360" w:lineRule="auto"/>
        <w:ind w:left="5490" w:hanging="1530"/>
        <w:rPr>
          <w:sz w:val="24"/>
          <w:szCs w:val="24"/>
        </w:rPr>
      </w:pPr>
      <w:r w:rsidRPr="00CA160C">
        <w:rPr>
          <w:sz w:val="24"/>
          <w:szCs w:val="24"/>
        </w:rPr>
        <w:t xml:space="preserve">Benchmarks will include minimum </w:t>
      </w:r>
      <w:r w:rsidRPr="00B015F5">
        <w:rPr>
          <w:sz w:val="24"/>
          <w:szCs w:val="24"/>
        </w:rPr>
        <w:t>achievement levels, improvement relative to those levels, or both (i.e., either/or).</w:t>
      </w:r>
    </w:p>
    <w:p w14:paraId="25CA610B" w14:textId="77777777" w:rsid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For claims-based measures, where it is feasible to assess experience prior to the start of the Demonstration, improvement-focused benchmarking will be based on improvement from the pre-Demonstration baseline.</w:t>
      </w:r>
    </w:p>
    <w:p w14:paraId="5FF99BB7" w14:textId="628F9A04" w:rsidR="002C0784" w:rsidRDefault="00554B3A" w:rsidP="002C0784">
      <w:pPr>
        <w:pStyle w:val="BodyText2"/>
        <w:numPr>
          <w:ilvl w:val="6"/>
          <w:numId w:val="36"/>
        </w:numPr>
        <w:tabs>
          <w:tab w:val="clear" w:pos="5040"/>
        </w:tabs>
        <w:spacing w:after="480" w:line="360" w:lineRule="auto"/>
        <w:ind w:left="5490" w:hanging="1530"/>
        <w:rPr>
          <w:sz w:val="24"/>
          <w:szCs w:val="24"/>
        </w:rPr>
      </w:pPr>
      <w:bookmarkStart w:id="17" w:name="_Hlk146618771"/>
      <w:r w:rsidRPr="002C0784">
        <w:rPr>
          <w:sz w:val="24"/>
          <w:szCs w:val="24"/>
        </w:rPr>
        <w:t xml:space="preserve">For measures for which the baseline cannot be based on pre-Demonstration experience, improvement-focused benchmarking will be based on improvement from the reporting period baseline. For the Patient Activation </w:t>
      </w:r>
      <w:r w:rsidRPr="00275B6D">
        <w:rPr>
          <w:sz w:val="24"/>
          <w:szCs w:val="24"/>
        </w:rPr>
        <w:t xml:space="preserve">Measure (PAM), improvement-focused benchmarking will be based on positive </w:t>
      </w:r>
      <w:r w:rsidRPr="00275B6D">
        <w:rPr>
          <w:sz w:val="24"/>
          <w:szCs w:val="24"/>
        </w:rPr>
        <w:lastRenderedPageBreak/>
        <w:t>average PAM score changes for beneficiaries who were initially least activated.</w:t>
      </w:r>
      <w:r w:rsidR="0003514B" w:rsidRPr="00275B6D">
        <w:rPr>
          <w:sz w:val="24"/>
          <w:szCs w:val="24"/>
        </w:rPr>
        <w:t xml:space="preserve"> </w:t>
      </w:r>
      <w:bookmarkStart w:id="18" w:name="_Hlk146618713"/>
      <w:r w:rsidR="0003514B" w:rsidRPr="00275B6D">
        <w:rPr>
          <w:sz w:val="24"/>
          <w:szCs w:val="24"/>
        </w:rPr>
        <w:t>For the homelessness measure (C.4), the benchmark value will be informed by consideration of pre-pandemic values, given the impact of the temporary COVID-related eviction moratorium on rates of homelessness in DY 7 (2020) and DY 8 (2021).</w:t>
      </w:r>
      <w:bookmarkEnd w:id="18"/>
    </w:p>
    <w:bookmarkEnd w:id="17"/>
    <w:p w14:paraId="05D7A894" w14:textId="77777777" w:rsidR="00554B3A" w:rsidRP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Given that the State already has achieved one of the lowest rates of institutional long term care placement in the country, the two long-term services and supports State-specific demonstration measures will allow credit for maintaining or improving performance over time.</w:t>
      </w:r>
    </w:p>
    <w:p w14:paraId="3D6AFB3A" w14:textId="77777777" w:rsidR="00554B3A" w:rsidRPr="002C0784" w:rsidRDefault="00554B3A" w:rsidP="002C0784">
      <w:pPr>
        <w:pStyle w:val="BodyText2"/>
        <w:numPr>
          <w:ilvl w:val="5"/>
          <w:numId w:val="36"/>
        </w:numPr>
        <w:spacing w:after="480" w:line="360" w:lineRule="auto"/>
        <w:ind w:left="4950"/>
        <w:rPr>
          <w:sz w:val="24"/>
          <w:szCs w:val="24"/>
        </w:rPr>
      </w:pPr>
      <w:r w:rsidRPr="002C0784">
        <w:rPr>
          <w:sz w:val="24"/>
          <w:szCs w:val="24"/>
        </w:rPr>
        <w:t>The State may earn credit on measures in two ways:</w:t>
      </w:r>
    </w:p>
    <w:p w14:paraId="4C34A228" w14:textId="77777777" w:rsidR="002C0784" w:rsidRPr="00C23B70" w:rsidRDefault="00554B3A" w:rsidP="002C0784">
      <w:pPr>
        <w:pStyle w:val="BodyText2"/>
        <w:numPr>
          <w:ilvl w:val="6"/>
          <w:numId w:val="36"/>
        </w:numPr>
        <w:tabs>
          <w:tab w:val="clear" w:pos="5040"/>
          <w:tab w:val="left" w:pos="5490"/>
        </w:tabs>
        <w:spacing w:after="480" w:line="360" w:lineRule="auto"/>
        <w:ind w:left="5490" w:hanging="1530"/>
        <w:rPr>
          <w:sz w:val="24"/>
          <w:szCs w:val="24"/>
        </w:rPr>
      </w:pPr>
      <w:r w:rsidRPr="002C0784">
        <w:rPr>
          <w:sz w:val="24"/>
          <w:szCs w:val="24"/>
        </w:rPr>
        <w:t xml:space="preserve">If the State meets the established benchmark on an individual measure; </w:t>
      </w:r>
      <w:r w:rsidRPr="00C23B70">
        <w:rPr>
          <w:sz w:val="24"/>
          <w:szCs w:val="24"/>
        </w:rPr>
        <w:t>or</w:t>
      </w:r>
    </w:p>
    <w:p w14:paraId="1A3DBA51" w14:textId="77777777" w:rsidR="00554B3A" w:rsidRPr="00C23B70" w:rsidRDefault="00554B3A" w:rsidP="002C0784">
      <w:pPr>
        <w:pStyle w:val="BodyText2"/>
        <w:numPr>
          <w:ilvl w:val="6"/>
          <w:numId w:val="36"/>
        </w:numPr>
        <w:tabs>
          <w:tab w:val="clear" w:pos="5040"/>
          <w:tab w:val="left" w:pos="5490"/>
        </w:tabs>
        <w:spacing w:after="480" w:line="360" w:lineRule="auto"/>
        <w:ind w:left="5490" w:hanging="1530"/>
        <w:rPr>
          <w:sz w:val="24"/>
          <w:szCs w:val="24"/>
        </w:rPr>
      </w:pPr>
      <w:r w:rsidRPr="00C23B70">
        <w:rPr>
          <w:sz w:val="24"/>
          <w:szCs w:val="24"/>
        </w:rPr>
        <w:t xml:space="preserve">If the State meets the established goal for closing the gap between their </w:t>
      </w:r>
      <w:r w:rsidRPr="00C23B70">
        <w:rPr>
          <w:sz w:val="24"/>
          <w:szCs w:val="24"/>
        </w:rPr>
        <w:lastRenderedPageBreak/>
        <w:t>performance in the 12 months prior to the performance period and the established benchmark by a stipulated percentage.</w:t>
      </w:r>
      <w:r w:rsidR="002C0784" w:rsidRPr="00C23B70">
        <w:rPr>
          <w:sz w:val="24"/>
          <w:szCs w:val="24"/>
        </w:rPr>
        <w:t xml:space="preserve"> Specifically, the gap closure target for each measure will be set as follows:</w:t>
      </w:r>
    </w:p>
    <w:p w14:paraId="4D216A79" w14:textId="77777777" w:rsidR="002C0784" w:rsidRPr="002A7FDE" w:rsidRDefault="002C0784" w:rsidP="002C0784">
      <w:pPr>
        <w:pStyle w:val="BodyText2"/>
        <w:numPr>
          <w:ilvl w:val="7"/>
          <w:numId w:val="36"/>
        </w:numPr>
        <w:tabs>
          <w:tab w:val="clear" w:pos="5040"/>
          <w:tab w:val="clear" w:pos="5760"/>
          <w:tab w:val="clear" w:pos="6480"/>
          <w:tab w:val="left" w:pos="5490"/>
          <w:tab w:val="left" w:pos="6030"/>
        </w:tabs>
        <w:spacing w:after="480" w:line="360" w:lineRule="auto"/>
        <w:ind w:left="6390" w:hanging="1710"/>
        <w:rPr>
          <w:sz w:val="24"/>
          <w:szCs w:val="24"/>
        </w:rPr>
      </w:pPr>
      <w:r w:rsidRPr="002A7FDE">
        <w:rPr>
          <w:sz w:val="24"/>
          <w:szCs w:val="24"/>
        </w:rPr>
        <w:t>Step 1: Calcul</w:t>
      </w:r>
      <w:r w:rsidR="00F17A5E" w:rsidRPr="002A7FDE">
        <w:rPr>
          <w:sz w:val="24"/>
          <w:szCs w:val="24"/>
        </w:rPr>
        <w:t>ate the difference between the S</w:t>
      </w:r>
      <w:r w:rsidRPr="002A7FDE">
        <w:rPr>
          <w:sz w:val="24"/>
          <w:szCs w:val="24"/>
        </w:rPr>
        <w:t>tate’s performance rate on the measure in the year prior to the performance period and the established benchmark level for the performance period</w:t>
      </w:r>
      <w:r w:rsidR="00CA160C" w:rsidRPr="002A7FDE">
        <w:rPr>
          <w:sz w:val="24"/>
          <w:szCs w:val="24"/>
        </w:rPr>
        <w:t>.</w:t>
      </w:r>
    </w:p>
    <w:p w14:paraId="15FE94E0" w14:textId="77777777" w:rsidR="002C0784" w:rsidRPr="002A7FDE" w:rsidRDefault="002C0784" w:rsidP="002C0784">
      <w:pPr>
        <w:pStyle w:val="BodyText2"/>
        <w:numPr>
          <w:ilvl w:val="7"/>
          <w:numId w:val="36"/>
        </w:numPr>
        <w:tabs>
          <w:tab w:val="clear" w:pos="5040"/>
          <w:tab w:val="clear" w:pos="5760"/>
          <w:tab w:val="clear" w:pos="6480"/>
          <w:tab w:val="left" w:pos="5490"/>
          <w:tab w:val="left" w:pos="6030"/>
        </w:tabs>
        <w:spacing w:after="480" w:line="360" w:lineRule="auto"/>
        <w:ind w:left="6390" w:hanging="1710"/>
        <w:rPr>
          <w:sz w:val="24"/>
          <w:szCs w:val="24"/>
        </w:rPr>
      </w:pPr>
      <w:r w:rsidRPr="002A7FDE">
        <w:rPr>
          <w:bCs/>
          <w:color w:val="000000"/>
          <w:sz w:val="24"/>
          <w:szCs w:val="24"/>
        </w:rPr>
        <w:t>Step 2: Multiply the difference in Step 1 by the improvement percentage of 10%</w:t>
      </w:r>
      <w:r w:rsidR="00CA160C" w:rsidRPr="002A7FDE">
        <w:rPr>
          <w:bCs/>
          <w:color w:val="000000"/>
          <w:sz w:val="24"/>
          <w:szCs w:val="24"/>
        </w:rPr>
        <w:t>.</w:t>
      </w:r>
    </w:p>
    <w:p w14:paraId="62A224F2" w14:textId="3D81310C" w:rsidR="007356F2" w:rsidRPr="001E71CF" w:rsidRDefault="002C0784" w:rsidP="00176105">
      <w:pPr>
        <w:pStyle w:val="BodyText2"/>
        <w:numPr>
          <w:ilvl w:val="7"/>
          <w:numId w:val="36"/>
        </w:numPr>
        <w:tabs>
          <w:tab w:val="clear" w:pos="5040"/>
          <w:tab w:val="clear" w:pos="5760"/>
        </w:tabs>
        <w:spacing w:after="480" w:line="360" w:lineRule="auto"/>
        <w:ind w:left="6390" w:hanging="1710"/>
        <w:rPr>
          <w:sz w:val="24"/>
          <w:szCs w:val="24"/>
        </w:rPr>
      </w:pPr>
      <w:r w:rsidRPr="002A7FDE">
        <w:rPr>
          <w:bCs/>
          <w:color w:val="000000"/>
          <w:sz w:val="24"/>
          <w:szCs w:val="24"/>
        </w:rPr>
        <w:t>Step 3: Add</w:t>
      </w:r>
      <w:r w:rsidR="00F17A5E" w:rsidRPr="002A7FDE">
        <w:rPr>
          <w:bCs/>
          <w:color w:val="000000"/>
          <w:sz w:val="24"/>
          <w:szCs w:val="24"/>
        </w:rPr>
        <w:t xml:space="preserve"> the result from Step 2 to the S</w:t>
      </w:r>
      <w:r w:rsidRPr="002A7FDE">
        <w:rPr>
          <w:bCs/>
          <w:color w:val="000000"/>
          <w:sz w:val="24"/>
          <w:szCs w:val="24"/>
        </w:rPr>
        <w:t xml:space="preserve">tate’s performance rate on </w:t>
      </w:r>
      <w:r w:rsidRPr="001E71CF">
        <w:rPr>
          <w:bCs/>
          <w:color w:val="000000"/>
          <w:sz w:val="24"/>
          <w:szCs w:val="24"/>
        </w:rPr>
        <w:t>the measure in the year prior to the performance period</w:t>
      </w:r>
      <w:r w:rsidR="00F72364" w:rsidRPr="001E71CF">
        <w:rPr>
          <w:bCs/>
          <w:color w:val="000000"/>
          <w:sz w:val="24"/>
          <w:szCs w:val="24"/>
        </w:rPr>
        <w:t>, and round to the nearest integer</w:t>
      </w:r>
      <w:r w:rsidR="003043BF" w:rsidRPr="001E71CF">
        <w:rPr>
          <w:bCs/>
          <w:color w:val="000000"/>
          <w:sz w:val="24"/>
          <w:szCs w:val="24"/>
        </w:rPr>
        <w:t xml:space="preserve">. </w:t>
      </w:r>
      <w:r w:rsidRPr="001E71CF">
        <w:rPr>
          <w:bCs/>
          <w:color w:val="000000"/>
          <w:sz w:val="24"/>
          <w:szCs w:val="24"/>
        </w:rPr>
        <w:t xml:space="preserve">If the </w:t>
      </w:r>
      <w:r w:rsidR="00F17A5E" w:rsidRPr="001E71CF">
        <w:rPr>
          <w:bCs/>
          <w:color w:val="000000"/>
          <w:sz w:val="24"/>
          <w:szCs w:val="24"/>
        </w:rPr>
        <w:t>S</w:t>
      </w:r>
      <w:r w:rsidRPr="001E71CF">
        <w:rPr>
          <w:bCs/>
          <w:color w:val="000000"/>
          <w:sz w:val="24"/>
          <w:szCs w:val="24"/>
        </w:rPr>
        <w:t>tate’s performance in the performance period exceeds the amo</w:t>
      </w:r>
      <w:r w:rsidR="00F17A5E" w:rsidRPr="001E71CF">
        <w:rPr>
          <w:bCs/>
          <w:color w:val="000000"/>
          <w:sz w:val="24"/>
          <w:szCs w:val="24"/>
        </w:rPr>
        <w:t>unt determined in Step 3, the St</w:t>
      </w:r>
      <w:r w:rsidRPr="001E71CF">
        <w:rPr>
          <w:bCs/>
          <w:color w:val="000000"/>
          <w:sz w:val="24"/>
          <w:szCs w:val="24"/>
        </w:rPr>
        <w:t xml:space="preserve">ate has met the </w:t>
      </w:r>
      <w:r w:rsidRPr="001E71CF">
        <w:rPr>
          <w:bCs/>
          <w:color w:val="000000"/>
          <w:sz w:val="24"/>
          <w:szCs w:val="24"/>
        </w:rPr>
        <w:lastRenderedPageBreak/>
        <w:t>established goal for closing the gap.</w:t>
      </w:r>
      <w:r w:rsidR="007356F2" w:rsidRPr="001E71CF">
        <w:rPr>
          <w:sz w:val="24"/>
          <w:szCs w:val="24"/>
        </w:rPr>
        <w:t xml:space="preserve"> </w:t>
      </w:r>
    </w:p>
    <w:p w14:paraId="01705460" w14:textId="6A115A15" w:rsidR="00554B3A" w:rsidRPr="001E71CF" w:rsidRDefault="00554B3A" w:rsidP="00FB4B69">
      <w:pPr>
        <w:pStyle w:val="BodyText2"/>
        <w:numPr>
          <w:ilvl w:val="4"/>
          <w:numId w:val="36"/>
        </w:numPr>
        <w:spacing w:after="480" w:line="360" w:lineRule="auto"/>
        <w:ind w:left="4320" w:hanging="1440"/>
        <w:rPr>
          <w:sz w:val="24"/>
          <w:szCs w:val="24"/>
        </w:rPr>
      </w:pPr>
      <w:r w:rsidRPr="001E71CF">
        <w:rPr>
          <w:i/>
          <w:sz w:val="24"/>
          <w:szCs w:val="24"/>
        </w:rPr>
        <w:t>Scoring Methodology</w:t>
      </w:r>
      <w:r w:rsidRPr="001E71CF">
        <w:rPr>
          <w:sz w:val="24"/>
          <w:szCs w:val="24"/>
        </w:rPr>
        <w:t>:  The State will receive a “met” or “not met” score for each measure</w:t>
      </w:r>
      <w:r w:rsidR="003043BF" w:rsidRPr="001E71CF">
        <w:rPr>
          <w:sz w:val="24"/>
          <w:szCs w:val="24"/>
        </w:rPr>
        <w:t xml:space="preserve">. </w:t>
      </w:r>
      <w:r w:rsidRPr="001E71CF">
        <w:rPr>
          <w:sz w:val="24"/>
          <w:szCs w:val="24"/>
        </w:rPr>
        <w:t>If the State meets the determined benchmark or improvement goal, it will receive a “met” for that measure</w:t>
      </w:r>
      <w:r w:rsidR="003043BF" w:rsidRPr="001E71CF">
        <w:rPr>
          <w:sz w:val="24"/>
          <w:szCs w:val="24"/>
        </w:rPr>
        <w:t xml:space="preserve">. </w:t>
      </w:r>
      <w:r w:rsidRPr="001E71CF">
        <w:rPr>
          <w:sz w:val="24"/>
          <w:szCs w:val="24"/>
        </w:rPr>
        <w:t>If the State does not meet the benchmark or improvement goal, it will receive a “not met” for that measure.</w:t>
      </w:r>
      <w:r w:rsidR="00FB4B69" w:rsidRPr="001E71CF">
        <w:rPr>
          <w:sz w:val="24"/>
          <w:szCs w:val="24"/>
        </w:rPr>
        <w:t xml:space="preserve"> </w:t>
      </w:r>
      <w:r w:rsidRPr="001E71CF">
        <w:rPr>
          <w:sz w:val="24"/>
          <w:szCs w:val="24"/>
        </w:rPr>
        <w:t>For the measures based solely on reporting (as indicated in the tables above), a “met” is based on full and accurate reporting. For each measure, receiving a “met” is contingent on the State attesting to complete and accurate reporting for that measure and subject to CMS validation of the data being reported</w:t>
      </w:r>
      <w:r w:rsidR="00EE01F7" w:rsidRPr="001E71CF">
        <w:rPr>
          <w:sz w:val="24"/>
          <w:szCs w:val="24"/>
        </w:rPr>
        <w:t xml:space="preserve">. Measures that are </w:t>
      </w:r>
      <w:r w:rsidR="003638D6">
        <w:rPr>
          <w:sz w:val="24"/>
          <w:szCs w:val="24"/>
        </w:rPr>
        <w:t>“</w:t>
      </w:r>
      <w:r w:rsidR="00EE01F7" w:rsidRPr="001E71CF">
        <w:rPr>
          <w:sz w:val="24"/>
          <w:szCs w:val="24"/>
        </w:rPr>
        <w:t>not met</w:t>
      </w:r>
      <w:r w:rsidR="003638D6">
        <w:rPr>
          <w:sz w:val="24"/>
          <w:szCs w:val="24"/>
        </w:rPr>
        <w:t>”</w:t>
      </w:r>
      <w:r w:rsidR="00EE01F7" w:rsidRPr="001E71CF">
        <w:rPr>
          <w:sz w:val="24"/>
          <w:szCs w:val="24"/>
        </w:rPr>
        <w:t xml:space="preserve"> result in a reduction in the number of measures included in the numerator of the calculation of the measures met each </w:t>
      </w:r>
      <w:r w:rsidR="00605A74" w:rsidRPr="001E71CF">
        <w:rPr>
          <w:sz w:val="24"/>
          <w:szCs w:val="24"/>
        </w:rPr>
        <w:t>year but</w:t>
      </w:r>
      <w:r w:rsidR="00EE01F7" w:rsidRPr="001E71CF">
        <w:rPr>
          <w:sz w:val="24"/>
          <w:szCs w:val="24"/>
        </w:rPr>
        <w:t xml:space="preserve"> remain in the denominator.</w:t>
      </w:r>
      <w:r w:rsidR="00EE01F7" w:rsidRPr="001E71CF">
        <w:t xml:space="preserve"> </w:t>
      </w:r>
    </w:p>
    <w:p w14:paraId="032D643C" w14:textId="421FB039" w:rsidR="0049132A" w:rsidRPr="001E71CF" w:rsidRDefault="00CB1CC3" w:rsidP="00CB1CC3">
      <w:pPr>
        <w:pStyle w:val="BodyText2"/>
        <w:numPr>
          <w:ilvl w:val="5"/>
          <w:numId w:val="36"/>
        </w:numPr>
        <w:spacing w:after="480" w:line="360" w:lineRule="auto"/>
        <w:rPr>
          <w:sz w:val="24"/>
          <w:szCs w:val="24"/>
        </w:rPr>
      </w:pPr>
      <w:r w:rsidRPr="00997972">
        <w:rPr>
          <w:rFonts w:cstheme="minorHAnsi"/>
          <w:sz w:val="24"/>
          <w:szCs w:val="24"/>
        </w:rPr>
        <w:t>For reporting periods d</w:t>
      </w:r>
      <w:r w:rsidR="0049132A" w:rsidRPr="00997972">
        <w:rPr>
          <w:rFonts w:cstheme="minorHAnsi"/>
          <w:sz w:val="24"/>
          <w:szCs w:val="24"/>
        </w:rPr>
        <w:t xml:space="preserve">uring </w:t>
      </w:r>
      <w:r w:rsidRPr="00997972">
        <w:rPr>
          <w:rFonts w:cstheme="minorHAnsi"/>
          <w:sz w:val="24"/>
          <w:szCs w:val="24"/>
        </w:rPr>
        <w:t>which</w:t>
      </w:r>
      <w:r w:rsidR="0049132A" w:rsidRPr="00997972">
        <w:rPr>
          <w:rFonts w:cstheme="minorHAnsi"/>
          <w:sz w:val="24"/>
          <w:szCs w:val="24"/>
        </w:rPr>
        <w:t xml:space="preserve"> the COVID-19 public health emergency (PHE)</w:t>
      </w:r>
      <w:r w:rsidRPr="00997972">
        <w:rPr>
          <w:rFonts w:cstheme="minorHAnsi"/>
          <w:sz w:val="24"/>
          <w:szCs w:val="24"/>
        </w:rPr>
        <w:t xml:space="preserve"> is in effect for more than six (6) calendar months</w:t>
      </w:r>
      <w:r w:rsidR="0049132A" w:rsidRPr="00997972">
        <w:rPr>
          <w:rFonts w:cstheme="minorHAnsi"/>
          <w:sz w:val="24"/>
          <w:szCs w:val="24"/>
        </w:rPr>
        <w:t>, the state will receive a score of “met” for each measure that is completely and accurately reported</w:t>
      </w:r>
      <w:r w:rsidR="0049132A" w:rsidRPr="0041676F">
        <w:rPr>
          <w:rFonts w:cstheme="minorHAnsi"/>
          <w:sz w:val="24"/>
          <w:szCs w:val="24"/>
        </w:rPr>
        <w:t xml:space="preserve">. The State will be required to report all </w:t>
      </w:r>
      <w:r w:rsidR="0049132A" w:rsidRPr="0041676F">
        <w:rPr>
          <w:rFonts w:cstheme="minorHAnsi"/>
          <w:sz w:val="24"/>
          <w:szCs w:val="24"/>
        </w:rPr>
        <w:lastRenderedPageBreak/>
        <w:t>measures. However, given the unique nature of the impact of the PHE on vulnerable populations, the state will only be required to meet “reporting” standard</w:t>
      </w:r>
      <w:r w:rsidR="0049132A" w:rsidRPr="001E71CF">
        <w:rPr>
          <w:rFonts w:cstheme="minorHAnsi"/>
          <w:sz w:val="24"/>
          <w:szCs w:val="24"/>
        </w:rPr>
        <w:t>s</w:t>
      </w:r>
      <w:r w:rsidR="0049132A" w:rsidRPr="00997972">
        <w:rPr>
          <w:rFonts w:cstheme="minorHAnsi"/>
          <w:sz w:val="24"/>
          <w:szCs w:val="24"/>
        </w:rPr>
        <w:t>.</w:t>
      </w:r>
      <w:r w:rsidRPr="00997972">
        <w:t xml:space="preserve"> </w:t>
      </w:r>
      <w:r w:rsidRPr="00997972">
        <w:rPr>
          <w:rFonts w:cstheme="minorHAnsi"/>
          <w:sz w:val="24"/>
          <w:szCs w:val="24"/>
        </w:rPr>
        <w:t>As a result, for DY 7 (2020)</w:t>
      </w:r>
      <w:r w:rsidR="00EE22C2">
        <w:rPr>
          <w:rFonts w:cstheme="minorHAnsi"/>
          <w:sz w:val="24"/>
          <w:szCs w:val="24"/>
        </w:rPr>
        <w:t>,</w:t>
      </w:r>
      <w:r w:rsidR="00640313">
        <w:rPr>
          <w:rFonts w:cstheme="minorHAnsi"/>
          <w:sz w:val="24"/>
          <w:szCs w:val="24"/>
        </w:rPr>
        <w:t xml:space="preserve"> </w:t>
      </w:r>
      <w:r w:rsidR="00997972">
        <w:rPr>
          <w:rFonts w:cstheme="minorHAnsi"/>
          <w:sz w:val="24"/>
          <w:szCs w:val="24"/>
        </w:rPr>
        <w:t>DY</w:t>
      </w:r>
      <w:r w:rsidR="0003514B">
        <w:rPr>
          <w:rFonts w:cstheme="minorHAnsi"/>
          <w:sz w:val="24"/>
          <w:szCs w:val="24"/>
        </w:rPr>
        <w:t xml:space="preserve"> </w:t>
      </w:r>
      <w:r w:rsidR="00997972">
        <w:rPr>
          <w:rFonts w:cstheme="minorHAnsi"/>
          <w:sz w:val="24"/>
          <w:szCs w:val="24"/>
        </w:rPr>
        <w:t>8 (2021)</w:t>
      </w:r>
      <w:r w:rsidR="00EE22C2">
        <w:rPr>
          <w:rFonts w:cstheme="minorHAnsi"/>
          <w:sz w:val="24"/>
          <w:szCs w:val="24"/>
        </w:rPr>
        <w:t>, and DY</w:t>
      </w:r>
      <w:r w:rsidR="0003514B">
        <w:rPr>
          <w:rFonts w:cstheme="minorHAnsi"/>
          <w:sz w:val="24"/>
          <w:szCs w:val="24"/>
        </w:rPr>
        <w:t xml:space="preserve"> </w:t>
      </w:r>
      <w:r w:rsidR="00EE22C2">
        <w:rPr>
          <w:rFonts w:cstheme="minorHAnsi"/>
          <w:sz w:val="24"/>
          <w:szCs w:val="24"/>
        </w:rPr>
        <w:t>9 (2022)</w:t>
      </w:r>
      <w:r w:rsidR="00997972">
        <w:rPr>
          <w:rFonts w:cstheme="minorHAnsi"/>
          <w:sz w:val="24"/>
          <w:szCs w:val="24"/>
        </w:rPr>
        <w:t xml:space="preserve"> </w:t>
      </w:r>
      <w:r w:rsidRPr="00997972">
        <w:rPr>
          <w:rFonts w:cstheme="minorHAnsi"/>
          <w:sz w:val="24"/>
          <w:szCs w:val="24"/>
        </w:rPr>
        <w:t>the s</w:t>
      </w:r>
      <w:r w:rsidRPr="001E71CF">
        <w:rPr>
          <w:rFonts w:cstheme="minorHAnsi"/>
          <w:sz w:val="24"/>
          <w:szCs w:val="24"/>
        </w:rPr>
        <w:t>tate will receive a score of “met” for each measure that is completely and accurately reported.</w:t>
      </w:r>
    </w:p>
    <w:p w14:paraId="4D618F09" w14:textId="62681C48" w:rsidR="00FB4B69" w:rsidRPr="00343B91" w:rsidRDefault="00554B3A" w:rsidP="00FB4B69">
      <w:pPr>
        <w:pStyle w:val="BodyText2"/>
        <w:numPr>
          <w:ilvl w:val="4"/>
          <w:numId w:val="36"/>
        </w:numPr>
        <w:spacing w:after="480" w:line="360" w:lineRule="auto"/>
        <w:ind w:left="4320" w:hanging="1440"/>
        <w:rPr>
          <w:sz w:val="24"/>
          <w:szCs w:val="24"/>
        </w:rPr>
      </w:pPr>
      <w:r w:rsidRPr="001E71CF">
        <w:rPr>
          <w:i/>
          <w:sz w:val="24"/>
          <w:szCs w:val="24"/>
        </w:rPr>
        <w:t>Retrospective Performance Payment</w:t>
      </w:r>
      <w:r w:rsidRPr="001E71CF">
        <w:rPr>
          <w:bCs/>
          <w:color w:val="000000"/>
          <w:sz w:val="24"/>
          <w:szCs w:val="24"/>
        </w:rPr>
        <w:t>:</w:t>
      </w:r>
      <w:r w:rsidRPr="00FB4B69">
        <w:rPr>
          <w:bCs/>
          <w:color w:val="000000"/>
          <w:sz w:val="24"/>
          <w:szCs w:val="24"/>
        </w:rPr>
        <w:t xml:space="preserve"> </w:t>
      </w:r>
      <w:r w:rsidRPr="00FB4B69">
        <w:rPr>
          <w:bCs/>
          <w:sz w:val="24"/>
          <w:szCs w:val="24"/>
        </w:rPr>
        <w:t xml:space="preserve">The maximum retrospective performance payment </w:t>
      </w:r>
      <w:r w:rsidRPr="00B015F5">
        <w:rPr>
          <w:bCs/>
          <w:sz w:val="24"/>
          <w:szCs w:val="24"/>
        </w:rPr>
        <w:t xml:space="preserve">available to the State under this model is based on </w:t>
      </w:r>
      <w:r w:rsidRPr="00FC7F5E">
        <w:rPr>
          <w:bCs/>
          <w:sz w:val="24"/>
          <w:szCs w:val="24"/>
        </w:rPr>
        <w:t>achieving overall federal savings</w:t>
      </w:r>
      <w:r w:rsidRPr="00B015F5">
        <w:rPr>
          <w:bCs/>
          <w:sz w:val="24"/>
          <w:szCs w:val="24"/>
        </w:rPr>
        <w:t xml:space="preserve"> as described in the MOU and in Section IV.I above</w:t>
      </w:r>
      <w:r w:rsidR="003043BF" w:rsidRPr="00B015F5">
        <w:rPr>
          <w:bCs/>
          <w:sz w:val="24"/>
          <w:szCs w:val="24"/>
        </w:rPr>
        <w:t xml:space="preserve">. </w:t>
      </w:r>
      <w:r w:rsidRPr="00B015F5">
        <w:rPr>
          <w:bCs/>
          <w:sz w:val="24"/>
          <w:szCs w:val="24"/>
        </w:rPr>
        <w:t>The performance payment qualifications will vary by year.</w:t>
      </w:r>
      <w:r w:rsidR="00FB4B69" w:rsidRPr="00B015F5">
        <w:rPr>
          <w:bCs/>
          <w:sz w:val="24"/>
          <w:szCs w:val="24"/>
        </w:rPr>
        <w:t xml:space="preserve"> Additional detail is provide</w:t>
      </w:r>
      <w:r w:rsidR="00343B91" w:rsidRPr="00B015F5">
        <w:rPr>
          <w:bCs/>
          <w:sz w:val="24"/>
          <w:szCs w:val="24"/>
        </w:rPr>
        <w:t>d</w:t>
      </w:r>
      <w:r w:rsidR="00FB4B69" w:rsidRPr="00B015F5">
        <w:rPr>
          <w:bCs/>
          <w:sz w:val="24"/>
          <w:szCs w:val="24"/>
        </w:rPr>
        <w:t xml:space="preserve"> in Appendix </w:t>
      </w:r>
      <w:bookmarkStart w:id="19" w:name="_Toc333401683"/>
      <w:r w:rsidR="003043BF" w:rsidRPr="00B015F5">
        <w:rPr>
          <w:bCs/>
          <w:sz w:val="24"/>
          <w:szCs w:val="24"/>
        </w:rPr>
        <w:t>A.</w:t>
      </w:r>
      <w:r w:rsidR="003043BF" w:rsidRPr="00343B91">
        <w:rPr>
          <w:bCs/>
          <w:sz w:val="24"/>
          <w:szCs w:val="24"/>
        </w:rPr>
        <w:t xml:space="preserve"> </w:t>
      </w:r>
    </w:p>
    <w:p w14:paraId="32B933E6" w14:textId="77777777" w:rsidR="00FB4B69" w:rsidRPr="00343B91" w:rsidRDefault="000E0FD8" w:rsidP="00FB4B69">
      <w:pPr>
        <w:pStyle w:val="BodyText2"/>
        <w:numPr>
          <w:ilvl w:val="5"/>
          <w:numId w:val="36"/>
        </w:numPr>
        <w:spacing w:after="480" w:line="360" w:lineRule="auto"/>
        <w:ind w:left="4950"/>
        <w:rPr>
          <w:sz w:val="24"/>
          <w:szCs w:val="24"/>
        </w:rPr>
      </w:pPr>
      <w:r w:rsidRPr="00343B91">
        <w:rPr>
          <w:sz w:val="24"/>
          <w:szCs w:val="24"/>
        </w:rPr>
        <w:t>Calculation of Retrospective Performance Payment: CMS will consult with the State on methodological issues and data collection to execute the retrospective performance payment calculations.</w:t>
      </w:r>
    </w:p>
    <w:p w14:paraId="0608C584" w14:textId="77777777" w:rsidR="00FB4B69" w:rsidRPr="00343B91" w:rsidRDefault="00500098" w:rsidP="00FB4B69">
      <w:pPr>
        <w:pStyle w:val="BodyText2"/>
        <w:numPr>
          <w:ilvl w:val="5"/>
          <w:numId w:val="36"/>
        </w:numPr>
        <w:spacing w:after="480" w:line="360" w:lineRule="auto"/>
        <w:ind w:left="4950"/>
        <w:rPr>
          <w:sz w:val="24"/>
          <w:szCs w:val="24"/>
        </w:rPr>
      </w:pPr>
      <w:r w:rsidRPr="00343B91">
        <w:rPr>
          <w:sz w:val="24"/>
          <w:szCs w:val="24"/>
        </w:rPr>
        <w:t xml:space="preserve">CMS and the State will meet at least annually to review interim </w:t>
      </w:r>
      <w:r w:rsidR="00700E10" w:rsidRPr="00343B91">
        <w:rPr>
          <w:sz w:val="24"/>
          <w:szCs w:val="24"/>
        </w:rPr>
        <w:t>demonstration performance and quality me</w:t>
      </w:r>
      <w:r w:rsidR="00D16B31" w:rsidRPr="00343B91">
        <w:rPr>
          <w:sz w:val="24"/>
          <w:szCs w:val="24"/>
        </w:rPr>
        <w:t>trics</w:t>
      </w:r>
      <w:r w:rsidRPr="00343B91">
        <w:rPr>
          <w:sz w:val="24"/>
          <w:szCs w:val="24"/>
        </w:rPr>
        <w:t xml:space="preserve">, including for quality of care measures and analysis to review </w:t>
      </w:r>
      <w:r w:rsidRPr="00343B91">
        <w:rPr>
          <w:sz w:val="24"/>
          <w:szCs w:val="24"/>
        </w:rPr>
        <w:lastRenderedPageBreak/>
        <w:t>eligibility for the retrospective performance payment. CMS will provide the State with the data and assumptions used in calculating baseline cost estimates and performance payments.</w:t>
      </w:r>
    </w:p>
    <w:p w14:paraId="198E0CF5" w14:textId="77777777" w:rsidR="00FB4B69" w:rsidRPr="00343B91" w:rsidRDefault="00500098" w:rsidP="00FB4B69">
      <w:pPr>
        <w:pStyle w:val="BodyText2"/>
        <w:numPr>
          <w:ilvl w:val="5"/>
          <w:numId w:val="36"/>
        </w:numPr>
        <w:spacing w:after="480" w:line="360" w:lineRule="auto"/>
        <w:ind w:left="4950"/>
        <w:rPr>
          <w:sz w:val="24"/>
          <w:szCs w:val="24"/>
        </w:rPr>
      </w:pPr>
      <w:r w:rsidRPr="00FB4B69">
        <w:rPr>
          <w:sz w:val="24"/>
          <w:szCs w:val="24"/>
        </w:rPr>
        <w:t xml:space="preserve">The State of Washington may request, in writing, that CMS reconsider the calculation </w:t>
      </w:r>
      <w:r w:rsidRPr="00343B91">
        <w:rPr>
          <w:sz w:val="24"/>
          <w:szCs w:val="24"/>
        </w:rPr>
        <w:t>of the interim or final retrospective performance payment or the calculations behind the payment’s components (e.g., quality measures). The State must initiate any such requests within 90 days of written notification from CMS on the amount of the interim or final performance payment (or lack thereof).</w:t>
      </w:r>
    </w:p>
    <w:p w14:paraId="7993C8B9" w14:textId="47A3707D" w:rsidR="00FB4B69" w:rsidRPr="00343B91" w:rsidRDefault="00500098" w:rsidP="00FB4B69">
      <w:pPr>
        <w:pStyle w:val="BodyText2"/>
        <w:numPr>
          <w:ilvl w:val="4"/>
          <w:numId w:val="36"/>
        </w:numPr>
        <w:spacing w:after="480" w:line="360" w:lineRule="auto"/>
        <w:ind w:left="4320" w:hanging="1440"/>
        <w:rPr>
          <w:sz w:val="24"/>
          <w:szCs w:val="24"/>
        </w:rPr>
      </w:pPr>
      <w:r w:rsidRPr="00343B91">
        <w:rPr>
          <w:bCs/>
          <w:color w:val="000000"/>
          <w:sz w:val="24"/>
          <w:szCs w:val="24"/>
        </w:rPr>
        <w:t xml:space="preserve">Interim and Final Performance Payments: For each Demonstration </w:t>
      </w:r>
      <w:r w:rsidR="001C68CA">
        <w:rPr>
          <w:bCs/>
          <w:color w:val="000000"/>
          <w:sz w:val="24"/>
          <w:szCs w:val="24"/>
        </w:rPr>
        <w:t>Y</w:t>
      </w:r>
      <w:r w:rsidRPr="00343B91">
        <w:rPr>
          <w:bCs/>
          <w:color w:val="000000"/>
          <w:sz w:val="24"/>
          <w:szCs w:val="24"/>
        </w:rPr>
        <w:t>ear, based on availability, CMS may make one or more interim payments prior to the final performance payment, if the State meets the quality and Medicare savings criteria for a retrospective performance payment</w:t>
      </w:r>
      <w:r w:rsidR="003043BF" w:rsidRPr="00343B91">
        <w:rPr>
          <w:bCs/>
          <w:color w:val="000000"/>
          <w:sz w:val="24"/>
          <w:szCs w:val="24"/>
        </w:rPr>
        <w:t xml:space="preserve">. </w:t>
      </w:r>
      <w:r w:rsidRPr="00343B91">
        <w:rPr>
          <w:color w:val="000000"/>
          <w:sz w:val="24"/>
          <w:szCs w:val="24"/>
        </w:rPr>
        <w:t xml:space="preserve">CMS anticipates that the timing of any interim performance payment would be no sooner than 12-18 months after the end of the </w:t>
      </w:r>
      <w:r w:rsidR="001C68CA">
        <w:rPr>
          <w:color w:val="000000"/>
          <w:sz w:val="24"/>
          <w:szCs w:val="24"/>
        </w:rPr>
        <w:t>Demonstration Y</w:t>
      </w:r>
      <w:r w:rsidRPr="00343B91">
        <w:rPr>
          <w:color w:val="000000"/>
          <w:sz w:val="24"/>
          <w:szCs w:val="24"/>
        </w:rPr>
        <w:t>ear</w:t>
      </w:r>
      <w:r w:rsidR="00BB7FF2" w:rsidRPr="00343B91">
        <w:rPr>
          <w:color w:val="000000"/>
          <w:sz w:val="24"/>
          <w:szCs w:val="24"/>
        </w:rPr>
        <w:t xml:space="preserve">. </w:t>
      </w:r>
      <w:r w:rsidRPr="00343B91">
        <w:rPr>
          <w:color w:val="000000"/>
          <w:sz w:val="24"/>
          <w:szCs w:val="24"/>
        </w:rPr>
        <w:t xml:space="preserve">The final performance payment will occur at a later date once all Medicare and Medicaid data required for analysis is complete. The interim performance payment will consider preliminary analysis of </w:t>
      </w:r>
      <w:r w:rsidRPr="00343B91">
        <w:rPr>
          <w:color w:val="000000"/>
          <w:sz w:val="24"/>
          <w:szCs w:val="24"/>
        </w:rPr>
        <w:lastRenderedPageBreak/>
        <w:t xml:space="preserve">Medicare and Medicaid </w:t>
      </w:r>
      <w:r w:rsidR="00605A74" w:rsidRPr="00343B91">
        <w:rPr>
          <w:color w:val="000000"/>
          <w:sz w:val="24"/>
          <w:szCs w:val="24"/>
        </w:rPr>
        <w:t>savings and</w:t>
      </w:r>
      <w:r w:rsidRPr="00343B91">
        <w:rPr>
          <w:color w:val="000000"/>
          <w:sz w:val="24"/>
          <w:szCs w:val="24"/>
        </w:rPr>
        <w:t xml:space="preserve"> will require final assessment of the relevant quality measur</w:t>
      </w:r>
      <w:r w:rsidR="001C68CA">
        <w:rPr>
          <w:color w:val="000000"/>
          <w:sz w:val="24"/>
          <w:szCs w:val="24"/>
        </w:rPr>
        <w:t>e performance for the relevant D</w:t>
      </w:r>
      <w:r w:rsidRPr="00343B91">
        <w:rPr>
          <w:color w:val="000000"/>
          <w:sz w:val="24"/>
          <w:szCs w:val="24"/>
        </w:rPr>
        <w:t>emo</w:t>
      </w:r>
      <w:r w:rsidR="001C68CA">
        <w:rPr>
          <w:color w:val="000000"/>
          <w:sz w:val="24"/>
          <w:szCs w:val="24"/>
        </w:rPr>
        <w:t>nstration Y</w:t>
      </w:r>
      <w:r w:rsidRPr="00343B91">
        <w:rPr>
          <w:color w:val="000000"/>
          <w:sz w:val="24"/>
          <w:szCs w:val="24"/>
        </w:rPr>
        <w:t xml:space="preserve">ear. The calculation for the interim performance payment will follow that as described IV.I.2 above, with the exception of a discount factor that will be applied to any interim findings to reflect data incompleteness and run out. To the extent that the </w:t>
      </w:r>
      <w:r w:rsidRPr="00F17A5E">
        <w:rPr>
          <w:color w:val="000000"/>
          <w:sz w:val="24"/>
          <w:szCs w:val="24"/>
        </w:rPr>
        <w:t>interim performance payment exceeds the amount due to the State after final examination of all data as part of the final performance payment calculation, CMS will recoup the difference from the State.</w:t>
      </w:r>
    </w:p>
    <w:p w14:paraId="35886A7A" w14:textId="38A3EE0B" w:rsidR="00FB4B69" w:rsidRPr="00343B91" w:rsidRDefault="00FA259C" w:rsidP="00FB4B69">
      <w:pPr>
        <w:pStyle w:val="BodyText2"/>
        <w:numPr>
          <w:ilvl w:val="4"/>
          <w:numId w:val="36"/>
        </w:numPr>
        <w:spacing w:after="480" w:line="360" w:lineRule="auto"/>
        <w:ind w:left="4320" w:hanging="1440"/>
        <w:rPr>
          <w:sz w:val="24"/>
          <w:szCs w:val="24"/>
        </w:rPr>
      </w:pPr>
      <w:r w:rsidRPr="00343B91">
        <w:rPr>
          <w:i/>
          <w:sz w:val="24"/>
          <w:szCs w:val="24"/>
        </w:rPr>
        <w:t>State Participation in CAHPS Survey</w:t>
      </w:r>
      <w:r w:rsidRPr="00343B91">
        <w:rPr>
          <w:sz w:val="24"/>
          <w:szCs w:val="24"/>
        </w:rPr>
        <w:t xml:space="preserve">: </w:t>
      </w:r>
      <w:r w:rsidR="00632F7B" w:rsidRPr="00343B91">
        <w:rPr>
          <w:sz w:val="24"/>
          <w:szCs w:val="24"/>
        </w:rPr>
        <w:t>CMS will administer a standardized experience of care survey</w:t>
      </w:r>
      <w:r w:rsidR="00BB7FF2" w:rsidRPr="00343B91">
        <w:rPr>
          <w:sz w:val="24"/>
          <w:szCs w:val="24"/>
        </w:rPr>
        <w:t xml:space="preserve">. </w:t>
      </w:r>
      <w:r w:rsidR="00632F7B" w:rsidRPr="00343B91">
        <w:rPr>
          <w:sz w:val="24"/>
          <w:szCs w:val="24"/>
        </w:rPr>
        <w:t xml:space="preserve">The State, as part of the requirements of the </w:t>
      </w:r>
      <w:r w:rsidR="0029564F" w:rsidRPr="00343B91">
        <w:rPr>
          <w:sz w:val="24"/>
          <w:szCs w:val="24"/>
        </w:rPr>
        <w:t>Demonstration</w:t>
      </w:r>
      <w:r w:rsidR="00632F7B" w:rsidRPr="00343B91">
        <w:rPr>
          <w:sz w:val="24"/>
          <w:szCs w:val="24"/>
        </w:rPr>
        <w:t>, will assist CMS and its designated contractor in administering the survey by helping to identify appropriate beneficiaries and providing necessary data</w:t>
      </w:r>
      <w:r w:rsidR="00BB7FF2" w:rsidRPr="00343B91">
        <w:rPr>
          <w:sz w:val="24"/>
          <w:szCs w:val="24"/>
        </w:rPr>
        <w:t xml:space="preserve">. </w:t>
      </w:r>
      <w:r w:rsidR="00632F7B" w:rsidRPr="00343B91">
        <w:rPr>
          <w:sz w:val="24"/>
          <w:szCs w:val="24"/>
        </w:rPr>
        <w:t xml:space="preserve">While </w:t>
      </w:r>
      <w:r w:rsidR="00515336" w:rsidRPr="00343B91">
        <w:rPr>
          <w:sz w:val="24"/>
          <w:szCs w:val="24"/>
        </w:rPr>
        <w:t>the State is</w:t>
      </w:r>
      <w:r w:rsidR="00632F7B" w:rsidRPr="00343B91">
        <w:rPr>
          <w:sz w:val="24"/>
          <w:szCs w:val="24"/>
        </w:rPr>
        <w:t xml:space="preserve"> required to participate in the CMS-sponsored CAHPS survey as part of the </w:t>
      </w:r>
      <w:r w:rsidR="0029564F" w:rsidRPr="00343B91">
        <w:rPr>
          <w:sz w:val="24"/>
          <w:szCs w:val="24"/>
        </w:rPr>
        <w:t>Demonstration</w:t>
      </w:r>
      <w:r w:rsidR="00632F7B" w:rsidRPr="00343B91">
        <w:rPr>
          <w:sz w:val="24"/>
          <w:szCs w:val="24"/>
        </w:rPr>
        <w:t>, the CAHPS measures will not be scored for purposes of determining the retrospective performance payment</w:t>
      </w:r>
      <w:r w:rsidR="00BB7FF2" w:rsidRPr="00343B91">
        <w:rPr>
          <w:sz w:val="24"/>
          <w:szCs w:val="24"/>
        </w:rPr>
        <w:t xml:space="preserve">. </w:t>
      </w:r>
    </w:p>
    <w:p w14:paraId="4D699B2B" w14:textId="7252D81D" w:rsidR="00FB4B69" w:rsidRPr="00343B91" w:rsidRDefault="00FA259C" w:rsidP="00FB4B69">
      <w:pPr>
        <w:pStyle w:val="BodyText2"/>
        <w:numPr>
          <w:ilvl w:val="4"/>
          <w:numId w:val="36"/>
        </w:numPr>
        <w:spacing w:after="480" w:line="360" w:lineRule="auto"/>
        <w:ind w:left="4320" w:hanging="1440"/>
        <w:rPr>
          <w:sz w:val="24"/>
          <w:szCs w:val="24"/>
        </w:rPr>
      </w:pPr>
      <w:r w:rsidRPr="00343B91">
        <w:rPr>
          <w:i/>
          <w:sz w:val="24"/>
          <w:szCs w:val="24"/>
        </w:rPr>
        <w:t>Reporting Timeframes</w:t>
      </w:r>
      <w:r w:rsidRPr="00343B91">
        <w:rPr>
          <w:sz w:val="24"/>
          <w:szCs w:val="24"/>
        </w:rPr>
        <w:t xml:space="preserve">: </w:t>
      </w:r>
      <w:r w:rsidR="00515336" w:rsidRPr="00343B91">
        <w:rPr>
          <w:sz w:val="24"/>
          <w:szCs w:val="24"/>
        </w:rPr>
        <w:t xml:space="preserve">All quality measures will be reported based on services provided during the </w:t>
      </w:r>
      <w:r w:rsidR="001C68CA">
        <w:rPr>
          <w:sz w:val="24"/>
          <w:szCs w:val="24"/>
        </w:rPr>
        <w:t>Demonstration Y</w:t>
      </w:r>
      <w:r w:rsidR="00515336" w:rsidRPr="00343B91">
        <w:rPr>
          <w:sz w:val="24"/>
          <w:szCs w:val="24"/>
        </w:rPr>
        <w:t>ear</w:t>
      </w:r>
      <w:r w:rsidR="00BB7FF2" w:rsidRPr="00343B91">
        <w:rPr>
          <w:sz w:val="24"/>
          <w:szCs w:val="24"/>
        </w:rPr>
        <w:t xml:space="preserve">. </w:t>
      </w:r>
      <w:r w:rsidR="00515336" w:rsidRPr="00343B91">
        <w:rPr>
          <w:sz w:val="24"/>
          <w:szCs w:val="24"/>
        </w:rPr>
        <w:t xml:space="preserve">If the State fails to report by the requested deadline or does not provide a reasonable explanation for delayed reporting, the </w:t>
      </w:r>
      <w:r w:rsidR="00515336" w:rsidRPr="00343B91">
        <w:rPr>
          <w:sz w:val="24"/>
          <w:szCs w:val="24"/>
        </w:rPr>
        <w:lastRenderedPageBreak/>
        <w:t>State may be subject to corrective action for faili</w:t>
      </w:r>
      <w:r w:rsidR="00BD48D8" w:rsidRPr="00343B91">
        <w:rPr>
          <w:sz w:val="24"/>
          <w:szCs w:val="24"/>
        </w:rPr>
        <w:t>ng to report quality measures</w:t>
      </w:r>
      <w:r w:rsidR="00BB7FF2" w:rsidRPr="00343B91">
        <w:rPr>
          <w:sz w:val="24"/>
          <w:szCs w:val="24"/>
        </w:rPr>
        <w:t xml:space="preserve">. </w:t>
      </w:r>
      <w:r w:rsidR="00BD48D8" w:rsidRPr="00343B91">
        <w:rPr>
          <w:sz w:val="24"/>
          <w:szCs w:val="24"/>
        </w:rPr>
        <w:t>I</w:t>
      </w:r>
      <w:r w:rsidR="00515336" w:rsidRPr="00343B91">
        <w:rPr>
          <w:sz w:val="24"/>
          <w:szCs w:val="24"/>
        </w:rPr>
        <w:t>naccurate or incomplete reporting</w:t>
      </w:r>
      <w:r w:rsidR="00BD48D8" w:rsidRPr="00343B91">
        <w:rPr>
          <w:sz w:val="24"/>
          <w:szCs w:val="24"/>
        </w:rPr>
        <w:t>,</w:t>
      </w:r>
      <w:r w:rsidR="00515336" w:rsidRPr="00343B91">
        <w:rPr>
          <w:sz w:val="24"/>
          <w:szCs w:val="24"/>
        </w:rPr>
        <w:t xml:space="preserve"> or fail</w:t>
      </w:r>
      <w:r w:rsidR="00BD48D8" w:rsidRPr="00343B91">
        <w:rPr>
          <w:sz w:val="24"/>
          <w:szCs w:val="24"/>
        </w:rPr>
        <w:t>ure</w:t>
      </w:r>
      <w:r w:rsidR="00515336" w:rsidRPr="00343B91">
        <w:rPr>
          <w:sz w:val="24"/>
          <w:szCs w:val="24"/>
        </w:rPr>
        <w:t xml:space="preserve"> to make timely corrections following notice to resubmit</w:t>
      </w:r>
      <w:r w:rsidR="00BD48D8" w:rsidRPr="00343B91">
        <w:rPr>
          <w:sz w:val="24"/>
          <w:szCs w:val="24"/>
        </w:rPr>
        <w:t xml:space="preserve"> data</w:t>
      </w:r>
      <w:r w:rsidR="00515336" w:rsidRPr="00343B91">
        <w:rPr>
          <w:sz w:val="24"/>
          <w:szCs w:val="24"/>
        </w:rPr>
        <w:t xml:space="preserve"> may </w:t>
      </w:r>
      <w:r w:rsidR="00BD48D8" w:rsidRPr="00343B91">
        <w:rPr>
          <w:sz w:val="24"/>
          <w:szCs w:val="24"/>
        </w:rPr>
        <w:t>lead to termination from the</w:t>
      </w:r>
      <w:r w:rsidR="00515336" w:rsidRPr="00343B91">
        <w:rPr>
          <w:sz w:val="24"/>
          <w:szCs w:val="24"/>
        </w:rPr>
        <w:t xml:space="preserve"> </w:t>
      </w:r>
      <w:r w:rsidR="0029564F" w:rsidRPr="00343B91">
        <w:rPr>
          <w:sz w:val="24"/>
          <w:szCs w:val="24"/>
        </w:rPr>
        <w:t>Demonstration</w:t>
      </w:r>
      <w:r w:rsidR="00BB7FF2" w:rsidRPr="00343B91">
        <w:rPr>
          <w:sz w:val="24"/>
          <w:szCs w:val="24"/>
        </w:rPr>
        <w:t xml:space="preserve">. </w:t>
      </w:r>
      <w:r w:rsidR="00BD3642" w:rsidRPr="00343B91">
        <w:rPr>
          <w:sz w:val="24"/>
          <w:szCs w:val="24"/>
        </w:rPr>
        <w:t>The</w:t>
      </w:r>
      <w:r w:rsidR="00BD48D8" w:rsidRPr="00343B91">
        <w:rPr>
          <w:bCs/>
          <w:color w:val="000000"/>
          <w:sz w:val="24"/>
          <w:szCs w:val="24"/>
        </w:rPr>
        <w:t xml:space="preserve"> State must provide an attestation to the completeness and accuracy of the data reported</w:t>
      </w:r>
      <w:r w:rsidR="00BB7FF2" w:rsidRPr="00343B91">
        <w:rPr>
          <w:bCs/>
          <w:color w:val="000000"/>
          <w:sz w:val="24"/>
          <w:szCs w:val="24"/>
        </w:rPr>
        <w:t xml:space="preserve">. </w:t>
      </w:r>
      <w:r w:rsidR="00BD48D8" w:rsidRPr="00343B91">
        <w:rPr>
          <w:bCs/>
          <w:color w:val="000000"/>
          <w:sz w:val="24"/>
          <w:szCs w:val="24"/>
        </w:rPr>
        <w:t>The data reported will be validated and is subject to audit.</w:t>
      </w:r>
    </w:p>
    <w:p w14:paraId="67729A15" w14:textId="77777777" w:rsidR="00F62AC9" w:rsidRPr="00343B91" w:rsidRDefault="00570097" w:rsidP="00F62AC9">
      <w:pPr>
        <w:pStyle w:val="BodyText2"/>
        <w:numPr>
          <w:ilvl w:val="2"/>
          <w:numId w:val="36"/>
        </w:numPr>
        <w:tabs>
          <w:tab w:val="clear" w:pos="3384"/>
          <w:tab w:val="num" w:pos="2520"/>
        </w:tabs>
        <w:spacing w:after="480" w:line="360" w:lineRule="auto"/>
        <w:ind w:left="2160"/>
        <w:rPr>
          <w:sz w:val="24"/>
          <w:szCs w:val="24"/>
        </w:rPr>
      </w:pPr>
      <w:r w:rsidRPr="00343B91">
        <w:rPr>
          <w:i/>
          <w:color w:val="000000"/>
          <w:sz w:val="24"/>
          <w:szCs w:val="24"/>
        </w:rPr>
        <w:t xml:space="preserve">Washington State Health Home Essential Requirements </w:t>
      </w:r>
    </w:p>
    <w:p w14:paraId="328E1330" w14:textId="18D8AB19" w:rsidR="00F62AC9" w:rsidRPr="00343B91" w:rsidRDefault="004D6E4E" w:rsidP="00F62AC9">
      <w:pPr>
        <w:pStyle w:val="BodyText2"/>
        <w:numPr>
          <w:ilvl w:val="3"/>
          <w:numId w:val="36"/>
        </w:numPr>
        <w:tabs>
          <w:tab w:val="clear" w:pos="4320"/>
          <w:tab w:val="left" w:pos="3690"/>
        </w:tabs>
        <w:spacing w:after="480" w:line="360" w:lineRule="auto"/>
        <w:ind w:left="3600" w:hanging="1440"/>
        <w:rPr>
          <w:sz w:val="24"/>
          <w:szCs w:val="24"/>
        </w:rPr>
      </w:pPr>
      <w:r w:rsidRPr="00343B91">
        <w:rPr>
          <w:i/>
          <w:color w:val="000000"/>
          <w:sz w:val="24"/>
          <w:szCs w:val="24"/>
        </w:rPr>
        <w:t>Health Home</w:t>
      </w:r>
      <w:r w:rsidR="00F62AC9" w:rsidRPr="00343B91">
        <w:rPr>
          <w:i/>
          <w:color w:val="000000"/>
          <w:sz w:val="24"/>
          <w:szCs w:val="24"/>
        </w:rPr>
        <w:t xml:space="preserve"> Care Coordination Organization </w:t>
      </w:r>
      <w:r w:rsidRPr="00343B91">
        <w:rPr>
          <w:i/>
          <w:color w:val="000000"/>
          <w:sz w:val="24"/>
          <w:szCs w:val="24"/>
        </w:rPr>
        <w:t>Requirements</w:t>
      </w:r>
      <w:r w:rsidRPr="00343B91">
        <w:rPr>
          <w:sz w:val="24"/>
          <w:szCs w:val="24"/>
        </w:rPr>
        <w:t>: Care Coordinators are available during business hours to assist clients with urgent needs and can help ensure that clients have a functional emergency plan</w:t>
      </w:r>
      <w:r w:rsidR="00BB7FF2" w:rsidRPr="00343B91">
        <w:rPr>
          <w:sz w:val="24"/>
          <w:szCs w:val="24"/>
        </w:rPr>
        <w:t xml:space="preserve">. </w:t>
      </w:r>
    </w:p>
    <w:p w14:paraId="0F82E012" w14:textId="0F52F8E4" w:rsidR="00F62AC9" w:rsidRPr="00343B91" w:rsidRDefault="00A44864" w:rsidP="00F62AC9">
      <w:pPr>
        <w:pStyle w:val="BodyText2"/>
        <w:numPr>
          <w:ilvl w:val="3"/>
          <w:numId w:val="36"/>
        </w:numPr>
        <w:tabs>
          <w:tab w:val="clear" w:pos="4320"/>
          <w:tab w:val="left" w:pos="3690"/>
        </w:tabs>
        <w:spacing w:after="480" w:line="360" w:lineRule="auto"/>
        <w:ind w:left="3600" w:hanging="1440"/>
        <w:rPr>
          <w:sz w:val="24"/>
          <w:szCs w:val="24"/>
        </w:rPr>
      </w:pPr>
      <w:r w:rsidRPr="00343B91">
        <w:rPr>
          <w:i/>
          <w:color w:val="000000"/>
          <w:sz w:val="24"/>
          <w:szCs w:val="24"/>
        </w:rPr>
        <w:t>T</w:t>
      </w:r>
      <w:r w:rsidR="004D6E4E" w:rsidRPr="00343B91">
        <w:rPr>
          <w:i/>
          <w:color w:val="000000"/>
          <w:sz w:val="24"/>
          <w:szCs w:val="24"/>
        </w:rPr>
        <w:t>raining:</w:t>
      </w:r>
      <w:r w:rsidRPr="00343B91">
        <w:rPr>
          <w:color w:val="000000"/>
          <w:sz w:val="24"/>
          <w:szCs w:val="24"/>
        </w:rPr>
        <w:t xml:space="preserve"> </w:t>
      </w:r>
      <w:r w:rsidR="001F6BA6" w:rsidRPr="00343B91">
        <w:rPr>
          <w:color w:val="000000"/>
          <w:sz w:val="24"/>
          <w:szCs w:val="24"/>
        </w:rPr>
        <w:t>T</w:t>
      </w:r>
      <w:r w:rsidR="001F6BA6" w:rsidRPr="00343B91">
        <w:rPr>
          <w:sz w:val="24"/>
          <w:szCs w:val="24"/>
        </w:rPr>
        <w:t>raining of qualified health home designated/lead providers and Care Coordination Organizations will be sponsored between HCA and DSHS</w:t>
      </w:r>
      <w:r w:rsidR="00BB7FF2" w:rsidRPr="00343B91">
        <w:rPr>
          <w:sz w:val="24"/>
          <w:szCs w:val="24"/>
        </w:rPr>
        <w:t xml:space="preserve">. </w:t>
      </w:r>
      <w:r w:rsidR="001F6BA6" w:rsidRPr="00343B91">
        <w:rPr>
          <w:sz w:val="24"/>
          <w:szCs w:val="24"/>
        </w:rPr>
        <w:t>DSHS nursing staff will develop a set of core curriculum materials</w:t>
      </w:r>
      <w:r w:rsidR="00FC1B98" w:rsidRPr="00343B91">
        <w:rPr>
          <w:sz w:val="24"/>
          <w:szCs w:val="24"/>
        </w:rPr>
        <w:t>, including materials focused on disability and cultural competence,</w:t>
      </w:r>
      <w:r w:rsidR="001F6BA6" w:rsidRPr="00343B91">
        <w:rPr>
          <w:sz w:val="24"/>
          <w:szCs w:val="24"/>
        </w:rPr>
        <w:t xml:space="preserve"> for health homes to support the provision of timely, comprehensive, high-quality health homes services that are whole person focused</w:t>
      </w:r>
      <w:r w:rsidR="00BB7FF2" w:rsidRPr="00343B91">
        <w:rPr>
          <w:sz w:val="24"/>
          <w:szCs w:val="24"/>
        </w:rPr>
        <w:t xml:space="preserve">. </w:t>
      </w:r>
      <w:r w:rsidR="001F6BA6" w:rsidRPr="00343B91">
        <w:rPr>
          <w:sz w:val="24"/>
          <w:szCs w:val="24"/>
        </w:rPr>
        <w:t xml:space="preserve">DSHS will offer technical assistance training for core skill building on relevant topics throughout the </w:t>
      </w:r>
      <w:r w:rsidR="000B1EC0" w:rsidRPr="00343B91">
        <w:rPr>
          <w:sz w:val="24"/>
          <w:szCs w:val="24"/>
        </w:rPr>
        <w:t>D</w:t>
      </w:r>
      <w:r w:rsidR="001F6BA6" w:rsidRPr="00343B91">
        <w:rPr>
          <w:sz w:val="24"/>
          <w:szCs w:val="24"/>
        </w:rPr>
        <w:t xml:space="preserve">emonstration. Webinars, community network development meetings and/or learning </w:t>
      </w:r>
      <w:r w:rsidR="001F6BA6" w:rsidRPr="00997972">
        <w:rPr>
          <w:sz w:val="24"/>
          <w:szCs w:val="24"/>
        </w:rPr>
        <w:t>collaborative will foster shared learning, information sharing and problem solving.</w:t>
      </w:r>
      <w:r w:rsidR="00291BE0" w:rsidRPr="00997972">
        <w:rPr>
          <w:sz w:val="24"/>
          <w:szCs w:val="24"/>
        </w:rPr>
        <w:t xml:space="preserve"> </w:t>
      </w:r>
      <w:r w:rsidR="00290F4A" w:rsidRPr="00997972">
        <w:rPr>
          <w:sz w:val="24"/>
          <w:szCs w:val="24"/>
        </w:rPr>
        <w:t xml:space="preserve">Additional detail may be </w:t>
      </w:r>
      <w:r w:rsidR="00290F4A" w:rsidRPr="00997972">
        <w:rPr>
          <w:sz w:val="24"/>
          <w:szCs w:val="24"/>
        </w:rPr>
        <w:lastRenderedPageBreak/>
        <w:t>found in Health Home SPA</w:t>
      </w:r>
      <w:r w:rsidR="00943916" w:rsidRPr="00997972">
        <w:rPr>
          <w:sz w:val="24"/>
          <w:szCs w:val="24"/>
        </w:rPr>
        <w:t>s</w:t>
      </w:r>
      <w:r w:rsidR="00290F4A" w:rsidRPr="00997972">
        <w:rPr>
          <w:sz w:val="24"/>
          <w:szCs w:val="24"/>
        </w:rPr>
        <w:t xml:space="preserve"> #13-</w:t>
      </w:r>
      <w:r w:rsidR="00D26489" w:rsidRPr="00997972">
        <w:rPr>
          <w:sz w:val="24"/>
          <w:szCs w:val="24"/>
        </w:rPr>
        <w:t>00</w:t>
      </w:r>
      <w:r w:rsidR="008076CA" w:rsidRPr="00997972">
        <w:rPr>
          <w:sz w:val="24"/>
          <w:szCs w:val="24"/>
        </w:rPr>
        <w:t>0</w:t>
      </w:r>
      <w:r w:rsidR="008B63B5" w:rsidRPr="00997972">
        <w:rPr>
          <w:sz w:val="24"/>
          <w:szCs w:val="24"/>
        </w:rPr>
        <w:t>8</w:t>
      </w:r>
      <w:r w:rsidR="00B517B1" w:rsidRPr="00997972">
        <w:rPr>
          <w:sz w:val="24"/>
          <w:szCs w:val="24"/>
        </w:rPr>
        <w:t xml:space="preserve">, </w:t>
      </w:r>
      <w:r w:rsidR="00943916" w:rsidRPr="00997972">
        <w:rPr>
          <w:sz w:val="24"/>
          <w:szCs w:val="24"/>
        </w:rPr>
        <w:t>#13-</w:t>
      </w:r>
      <w:r w:rsidR="00D26489" w:rsidRPr="00997972">
        <w:rPr>
          <w:sz w:val="24"/>
          <w:szCs w:val="24"/>
        </w:rPr>
        <w:t>00</w:t>
      </w:r>
      <w:r w:rsidR="00943916" w:rsidRPr="00997972">
        <w:rPr>
          <w:sz w:val="24"/>
          <w:szCs w:val="24"/>
        </w:rPr>
        <w:t>17</w:t>
      </w:r>
      <w:r w:rsidR="0093081C" w:rsidRPr="00997972">
        <w:rPr>
          <w:sz w:val="24"/>
          <w:szCs w:val="24"/>
        </w:rPr>
        <w:t>,</w:t>
      </w:r>
      <w:r w:rsidR="00A8064F" w:rsidRPr="00997972">
        <w:rPr>
          <w:sz w:val="24"/>
          <w:szCs w:val="24"/>
        </w:rPr>
        <w:t xml:space="preserve"> </w:t>
      </w:r>
      <w:r w:rsidR="00B517B1" w:rsidRPr="00997972">
        <w:rPr>
          <w:sz w:val="24"/>
          <w:szCs w:val="24"/>
        </w:rPr>
        <w:t>#15-0011</w:t>
      </w:r>
      <w:r w:rsidR="0093081C" w:rsidRPr="00997972">
        <w:rPr>
          <w:sz w:val="24"/>
          <w:szCs w:val="24"/>
        </w:rPr>
        <w:t>, #16-0026</w:t>
      </w:r>
      <w:r w:rsidR="0094173E" w:rsidRPr="00997972">
        <w:rPr>
          <w:sz w:val="24"/>
          <w:szCs w:val="24"/>
        </w:rPr>
        <w:t>, #18-0028</w:t>
      </w:r>
      <w:r w:rsidR="00997972" w:rsidRPr="00997972">
        <w:rPr>
          <w:sz w:val="24"/>
          <w:szCs w:val="24"/>
        </w:rPr>
        <w:t>, and #20-0031</w:t>
      </w:r>
      <w:r w:rsidR="001F6BA6" w:rsidRPr="00997972">
        <w:rPr>
          <w:sz w:val="24"/>
          <w:szCs w:val="24"/>
        </w:rPr>
        <w:t>.</w:t>
      </w:r>
    </w:p>
    <w:p w14:paraId="2ADADEE5" w14:textId="42C2AF53" w:rsidR="00F62AC9" w:rsidRPr="00F62AC9" w:rsidRDefault="000D22AD" w:rsidP="00F62AC9">
      <w:pPr>
        <w:pStyle w:val="BodyText2"/>
        <w:numPr>
          <w:ilvl w:val="3"/>
          <w:numId w:val="36"/>
        </w:numPr>
        <w:tabs>
          <w:tab w:val="clear" w:pos="4320"/>
          <w:tab w:val="left" w:pos="3690"/>
        </w:tabs>
        <w:spacing w:after="480" w:line="360" w:lineRule="auto"/>
        <w:ind w:left="3600" w:hanging="1440"/>
        <w:rPr>
          <w:sz w:val="24"/>
          <w:szCs w:val="24"/>
        </w:rPr>
      </w:pPr>
      <w:r w:rsidRPr="00F62AC9">
        <w:rPr>
          <w:i/>
          <w:sz w:val="24"/>
          <w:szCs w:val="24"/>
        </w:rPr>
        <w:t xml:space="preserve">Evaluation: </w:t>
      </w:r>
      <w:r w:rsidRPr="00F62AC9">
        <w:rPr>
          <w:sz w:val="24"/>
          <w:szCs w:val="24"/>
        </w:rPr>
        <w:t xml:space="preserve">The </w:t>
      </w:r>
      <w:r w:rsidR="000B1EC0" w:rsidRPr="00F62AC9">
        <w:rPr>
          <w:sz w:val="24"/>
          <w:szCs w:val="24"/>
        </w:rPr>
        <w:t>S</w:t>
      </w:r>
      <w:r w:rsidRPr="00F62AC9">
        <w:rPr>
          <w:sz w:val="24"/>
          <w:szCs w:val="24"/>
        </w:rPr>
        <w:t>tate will work with the evaluation contractor to determine what care coordination/case management data are available and will share data with evaluator to support analysis of care coordination utilization patterns</w:t>
      </w:r>
      <w:r w:rsidR="00BB7FF2" w:rsidRPr="00F62AC9">
        <w:rPr>
          <w:sz w:val="24"/>
          <w:szCs w:val="24"/>
        </w:rPr>
        <w:t xml:space="preserve">. </w:t>
      </w:r>
      <w:r w:rsidRPr="00F62AC9">
        <w:rPr>
          <w:sz w:val="24"/>
          <w:szCs w:val="24"/>
        </w:rPr>
        <w:t xml:space="preserve">Based on discussions with the evaluation contractor, the </w:t>
      </w:r>
      <w:r w:rsidR="000B1EC0" w:rsidRPr="00F62AC9">
        <w:rPr>
          <w:sz w:val="24"/>
          <w:szCs w:val="24"/>
        </w:rPr>
        <w:t>S</w:t>
      </w:r>
      <w:r w:rsidRPr="00F62AC9">
        <w:rPr>
          <w:sz w:val="24"/>
          <w:szCs w:val="24"/>
        </w:rPr>
        <w:t xml:space="preserve">tate </w:t>
      </w:r>
      <w:r w:rsidR="004E17F9" w:rsidRPr="00F62AC9">
        <w:rPr>
          <w:sz w:val="24"/>
          <w:szCs w:val="24"/>
        </w:rPr>
        <w:t xml:space="preserve">may </w:t>
      </w:r>
      <w:r w:rsidRPr="00F62AC9">
        <w:rPr>
          <w:sz w:val="24"/>
          <w:szCs w:val="24"/>
        </w:rPr>
        <w:t xml:space="preserve">be asked to provide </w:t>
      </w:r>
      <w:r w:rsidR="004E17F9" w:rsidRPr="00F62AC9">
        <w:rPr>
          <w:sz w:val="24"/>
          <w:szCs w:val="24"/>
        </w:rPr>
        <w:t xml:space="preserve">additional </w:t>
      </w:r>
      <w:r w:rsidRPr="00F62AC9">
        <w:rPr>
          <w:sz w:val="24"/>
          <w:szCs w:val="24"/>
        </w:rPr>
        <w:t>data</w:t>
      </w:r>
      <w:r w:rsidR="00865E21" w:rsidRPr="00F62AC9">
        <w:rPr>
          <w:sz w:val="24"/>
          <w:szCs w:val="24"/>
        </w:rPr>
        <w:t xml:space="preserve"> </w:t>
      </w:r>
      <w:r w:rsidRPr="00F62AC9">
        <w:rPr>
          <w:sz w:val="24"/>
          <w:szCs w:val="24"/>
        </w:rPr>
        <w:t>on beneficiaries receiving care coordination during any given month.</w:t>
      </w:r>
      <w:bookmarkStart w:id="20" w:name="_Toc359320438"/>
      <w:bookmarkStart w:id="21" w:name="_Toc356922993"/>
    </w:p>
    <w:p w14:paraId="29A5AE31" w14:textId="77777777" w:rsidR="00C751AC" w:rsidRDefault="00C751AC" w:rsidP="00BE7ABA">
      <w:pPr>
        <w:pStyle w:val="BodyText2"/>
        <w:numPr>
          <w:ilvl w:val="0"/>
          <w:numId w:val="36"/>
        </w:numPr>
        <w:tabs>
          <w:tab w:val="clear" w:pos="4320"/>
          <w:tab w:val="left" w:pos="3690"/>
        </w:tabs>
        <w:spacing w:after="480" w:line="360" w:lineRule="auto"/>
        <w:ind w:hanging="1080"/>
        <w:outlineLvl w:val="0"/>
        <w:rPr>
          <w:b/>
          <w:sz w:val="24"/>
          <w:szCs w:val="24"/>
        </w:rPr>
      </w:pPr>
      <w:bookmarkStart w:id="22" w:name="_Toc521327542"/>
      <w:r w:rsidRPr="00F62AC9">
        <w:rPr>
          <w:b/>
          <w:sz w:val="24"/>
          <w:szCs w:val="24"/>
        </w:rPr>
        <w:t>EXTENSION OF FINAL DEMONSTRATION AGREEMENT</w:t>
      </w:r>
      <w:bookmarkEnd w:id="19"/>
      <w:bookmarkEnd w:id="20"/>
      <w:bookmarkEnd w:id="21"/>
      <w:bookmarkEnd w:id="22"/>
    </w:p>
    <w:p w14:paraId="54184DB7" w14:textId="6C0A4526" w:rsidR="00F62AC9" w:rsidRDefault="00F62AC9" w:rsidP="00F62AC9">
      <w:pPr>
        <w:spacing w:after="480" w:line="360" w:lineRule="auto"/>
      </w:pPr>
      <w:r w:rsidRPr="00517AB9">
        <w:t>The State may request an extension of this Demonstration, which will be evaluated consistent with terms specified under Section 1115A(b)(3) of the Social Security Act, and based on whether the Demonstration is improving the quality of care without increasing spending; reducing spending without reducing the quality of care; or improving the quality and care and reducing spending</w:t>
      </w:r>
      <w:r w:rsidR="00BB7FF2" w:rsidRPr="00517AB9">
        <w:t xml:space="preserve">. </w:t>
      </w:r>
      <w:r w:rsidRPr="00517AB9">
        <w:t>Any extension request may be gr</w:t>
      </w:r>
      <w:r>
        <w:t>anted at CMS’s sole discretion.</w:t>
      </w:r>
    </w:p>
    <w:p w14:paraId="436A3CFF" w14:textId="77777777" w:rsidR="00C751AC" w:rsidRDefault="00C751AC" w:rsidP="00BE7ABA">
      <w:pPr>
        <w:pStyle w:val="BodyText2"/>
        <w:numPr>
          <w:ilvl w:val="0"/>
          <w:numId w:val="36"/>
        </w:numPr>
        <w:tabs>
          <w:tab w:val="clear" w:pos="4320"/>
          <w:tab w:val="left" w:pos="3690"/>
        </w:tabs>
        <w:spacing w:after="480" w:line="360" w:lineRule="auto"/>
        <w:ind w:left="720" w:hanging="634"/>
        <w:outlineLvl w:val="0"/>
        <w:rPr>
          <w:b/>
          <w:sz w:val="24"/>
          <w:szCs w:val="24"/>
        </w:rPr>
      </w:pPr>
      <w:bookmarkStart w:id="23" w:name="_Toc333401684"/>
      <w:bookmarkStart w:id="24" w:name="_Toc356922994"/>
      <w:bookmarkStart w:id="25" w:name="_Toc359320439"/>
      <w:bookmarkStart w:id="26" w:name="_Toc521327543"/>
      <w:r w:rsidRPr="00F62AC9">
        <w:rPr>
          <w:b/>
          <w:sz w:val="24"/>
          <w:szCs w:val="24"/>
        </w:rPr>
        <w:t>MODIFICATION OR TERMINATION OF FINAL DEMONSTRATION AGREEMENT</w:t>
      </w:r>
      <w:bookmarkEnd w:id="23"/>
      <w:bookmarkEnd w:id="24"/>
      <w:bookmarkEnd w:id="25"/>
      <w:bookmarkEnd w:id="26"/>
    </w:p>
    <w:p w14:paraId="5DB2E278" w14:textId="363DC4E3" w:rsidR="00F62AC9" w:rsidRPr="00517AB9" w:rsidRDefault="00F62AC9" w:rsidP="00F62AC9">
      <w:pPr>
        <w:pStyle w:val="Default"/>
        <w:spacing w:after="480" w:line="360" w:lineRule="auto"/>
        <w:rPr>
          <w:rFonts w:ascii="Times New Roman" w:hAnsi="Times New Roman" w:cs="Times New Roman"/>
        </w:rPr>
      </w:pPr>
      <w:r w:rsidRPr="00517AB9">
        <w:rPr>
          <w:rFonts w:ascii="Times New Roman" w:hAnsi="Times New Roman" w:cs="Times New Roman"/>
        </w:rPr>
        <w:t>The State agrees to provide advance written notice to CMS of any State Plan, waiver, or policy changes that may have an impact on the Demonstration. This includes any changes to underlying Medicaid provisions that impact rates to providers or policy changes that may impact provisions under the Demonstration.</w:t>
      </w:r>
    </w:p>
    <w:p w14:paraId="32A6FBA6"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bookmarkStart w:id="27" w:name="_Toc333401685"/>
    </w:p>
    <w:p w14:paraId="4B10D1EA"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5F51EA34"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6492B1D1"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6ABC9277"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5F4BBC84"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778BF342" w14:textId="19734A6D" w:rsidR="00F62AC9" w:rsidRPr="00F62AC9" w:rsidRDefault="00570097" w:rsidP="0031136C">
      <w:pPr>
        <w:pStyle w:val="BodyText2"/>
        <w:numPr>
          <w:ilvl w:val="1"/>
          <w:numId w:val="61"/>
        </w:numPr>
        <w:tabs>
          <w:tab w:val="clear" w:pos="1440"/>
          <w:tab w:val="clear" w:pos="2160"/>
          <w:tab w:val="clear" w:pos="4320"/>
          <w:tab w:val="left" w:pos="3690"/>
        </w:tabs>
        <w:spacing w:after="480" w:line="360" w:lineRule="auto"/>
        <w:ind w:left="1908"/>
        <w:rPr>
          <w:b/>
          <w:sz w:val="24"/>
          <w:szCs w:val="24"/>
        </w:rPr>
      </w:pPr>
      <w:r w:rsidRPr="00F62AC9">
        <w:rPr>
          <w:b/>
          <w:color w:val="000000"/>
          <w:sz w:val="24"/>
          <w:szCs w:val="24"/>
        </w:rPr>
        <w:t>Modification:</w:t>
      </w:r>
      <w:r w:rsidRPr="00F62AC9">
        <w:rPr>
          <w:color w:val="000000"/>
          <w:sz w:val="24"/>
          <w:szCs w:val="24"/>
        </w:rPr>
        <w:t xml:space="preserve"> Either CMS or the State may seek to modify or amend the Final Demonstration Agreement p</w:t>
      </w:r>
      <w:r w:rsidRPr="00F62AC9">
        <w:rPr>
          <w:sz w:val="24"/>
          <w:szCs w:val="24"/>
        </w:rPr>
        <w:t>er a written request and subject to requirements set forth in Section 1115A(b)(3</w:t>
      </w:r>
      <w:r w:rsidRPr="00F62AC9">
        <w:rPr>
          <w:color w:val="000000"/>
          <w:sz w:val="24"/>
          <w:szCs w:val="24"/>
        </w:rPr>
        <w:t>) of the Social Security Act such as ensuring the</w:t>
      </w:r>
      <w:r w:rsidRPr="00F62AC9">
        <w:rPr>
          <w:sz w:val="24"/>
          <w:szCs w:val="24"/>
        </w:rPr>
        <w:t xml:space="preserve"> Demonstration is improving the quality of care without increasing spending; reducing spending without reducing the quality of care; or improving the quality and care and reducing spending</w:t>
      </w:r>
      <w:r w:rsidR="00BB7FF2" w:rsidRPr="00F62AC9">
        <w:rPr>
          <w:sz w:val="24"/>
          <w:szCs w:val="24"/>
        </w:rPr>
        <w:t xml:space="preserve">. </w:t>
      </w:r>
      <w:r w:rsidRPr="00F62AC9">
        <w:rPr>
          <w:sz w:val="24"/>
          <w:szCs w:val="24"/>
        </w:rPr>
        <w:t>Any material modification shall require written agreement by both parties and a stakeholder engagement process that is consistent with the process required under this Demonstration. </w:t>
      </w:r>
    </w:p>
    <w:p w14:paraId="4F002CFA" w14:textId="77777777" w:rsidR="00F62AC9" w:rsidRPr="00F62AC9" w:rsidRDefault="00570097" w:rsidP="00F62AC9">
      <w:pPr>
        <w:pStyle w:val="BodyText2"/>
        <w:numPr>
          <w:ilvl w:val="1"/>
          <w:numId w:val="61"/>
        </w:numPr>
        <w:tabs>
          <w:tab w:val="clear" w:pos="1440"/>
          <w:tab w:val="clear" w:pos="2160"/>
          <w:tab w:val="clear" w:pos="4320"/>
          <w:tab w:val="left" w:pos="3690"/>
        </w:tabs>
        <w:spacing w:after="480" w:line="360" w:lineRule="auto"/>
        <w:ind w:left="1530" w:hanging="990"/>
        <w:rPr>
          <w:b/>
          <w:sz w:val="24"/>
          <w:szCs w:val="24"/>
        </w:rPr>
      </w:pPr>
      <w:r w:rsidRPr="00F62AC9">
        <w:rPr>
          <w:b/>
          <w:color w:val="000000"/>
          <w:sz w:val="24"/>
          <w:szCs w:val="24"/>
        </w:rPr>
        <w:t xml:space="preserve">Termination: </w:t>
      </w:r>
      <w:r w:rsidRPr="00F62AC9">
        <w:rPr>
          <w:color w:val="000000"/>
          <w:sz w:val="24"/>
          <w:szCs w:val="24"/>
        </w:rPr>
        <w:t xml:space="preserve">The parties intend to allow </w:t>
      </w:r>
      <w:r w:rsidR="00960C57" w:rsidRPr="00F62AC9">
        <w:rPr>
          <w:color w:val="000000"/>
          <w:sz w:val="24"/>
          <w:szCs w:val="24"/>
        </w:rPr>
        <w:t>t</w:t>
      </w:r>
      <w:r w:rsidRPr="00F62AC9">
        <w:rPr>
          <w:color w:val="000000"/>
          <w:sz w:val="24"/>
          <w:szCs w:val="24"/>
        </w:rPr>
        <w:t xml:space="preserve">ermination of the Final Demonstration Agreement under the following circumstances: </w:t>
      </w:r>
    </w:p>
    <w:p w14:paraId="54CA525A" w14:textId="1FAC389C"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color w:val="000000"/>
          <w:sz w:val="24"/>
          <w:szCs w:val="24"/>
          <w:u w:val="single"/>
        </w:rPr>
        <w:t>Termination without cause</w:t>
      </w:r>
      <w:r w:rsidR="003638D6">
        <w:rPr>
          <w:color w:val="000000"/>
          <w:sz w:val="24"/>
          <w:szCs w:val="24"/>
        </w:rPr>
        <w:t xml:space="preserve"> – </w:t>
      </w:r>
      <w:r w:rsidRPr="00F62AC9">
        <w:rPr>
          <w:color w:val="000000"/>
          <w:sz w:val="24"/>
          <w:szCs w:val="24"/>
        </w:rPr>
        <w:t>Except as otherwise permitted below, a</w:t>
      </w:r>
      <w:r w:rsidRPr="00F62AC9">
        <w:rPr>
          <w:sz w:val="24"/>
          <w:szCs w:val="24"/>
        </w:rPr>
        <w:t xml:space="preserve"> termination by CMS or the State for any reason will require </w:t>
      </w:r>
      <w:r w:rsidRPr="00F62AC9">
        <w:rPr>
          <w:color w:val="000000"/>
          <w:sz w:val="24"/>
          <w:szCs w:val="24"/>
        </w:rPr>
        <w:t>that CMS or the State provides a minimum of 90 days advance notice to the other entity and 60 days advance notice is given to beneficiaries and the general public.</w:t>
      </w:r>
    </w:p>
    <w:p w14:paraId="70C6373C" w14:textId="77777777"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color w:val="000000"/>
          <w:sz w:val="24"/>
          <w:szCs w:val="24"/>
          <w:u w:val="single"/>
        </w:rPr>
        <w:t xml:space="preserve">Termination </w:t>
      </w:r>
      <w:r w:rsidRPr="00F62AC9">
        <w:rPr>
          <w:sz w:val="24"/>
          <w:szCs w:val="24"/>
          <w:u w:val="single"/>
        </w:rPr>
        <w:t>pursuant to Social Security Act § 1115A(b)(3)(B)</w:t>
      </w:r>
      <w:r w:rsidRPr="00F62AC9">
        <w:rPr>
          <w:sz w:val="24"/>
          <w:szCs w:val="24"/>
        </w:rPr>
        <w:t>.</w:t>
      </w:r>
    </w:p>
    <w:p w14:paraId="7F41F241" w14:textId="70B2F154"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sz w:val="24"/>
          <w:szCs w:val="24"/>
          <w:u w:val="single"/>
        </w:rPr>
        <w:t>Termination for cause</w:t>
      </w:r>
      <w:r w:rsidR="003638D6" w:rsidRPr="003638D6">
        <w:rPr>
          <w:sz w:val="24"/>
          <w:szCs w:val="24"/>
        </w:rPr>
        <w:t xml:space="preserve"> – </w:t>
      </w:r>
      <w:r w:rsidRPr="003638D6">
        <w:rPr>
          <w:sz w:val="24"/>
          <w:szCs w:val="24"/>
        </w:rPr>
        <w:t>Eit</w:t>
      </w:r>
      <w:r w:rsidRPr="00F62AC9">
        <w:rPr>
          <w:sz w:val="24"/>
          <w:szCs w:val="24"/>
        </w:rPr>
        <w:t>her party</w:t>
      </w:r>
      <w:r w:rsidRPr="00F62AC9">
        <w:rPr>
          <w:b/>
          <w:sz w:val="24"/>
          <w:szCs w:val="24"/>
        </w:rPr>
        <w:t xml:space="preserve"> </w:t>
      </w:r>
      <w:r w:rsidRPr="00F62AC9">
        <w:rPr>
          <w:sz w:val="24"/>
          <w:szCs w:val="24"/>
        </w:rPr>
        <w:t xml:space="preserve">may terminate upon 30 days’ </w:t>
      </w:r>
      <w:r w:rsidR="00EF52E2" w:rsidRPr="00F62AC9">
        <w:rPr>
          <w:sz w:val="24"/>
          <w:szCs w:val="24"/>
        </w:rPr>
        <w:t xml:space="preserve">prior written </w:t>
      </w:r>
      <w:r w:rsidRPr="00F62AC9">
        <w:rPr>
          <w:sz w:val="24"/>
          <w:szCs w:val="24"/>
        </w:rPr>
        <w:t>notice due to a material breach of a provision of the Final Demonstration Agreement</w:t>
      </w:r>
      <w:r w:rsidR="008C7605" w:rsidRPr="00F62AC9">
        <w:rPr>
          <w:sz w:val="24"/>
          <w:szCs w:val="24"/>
        </w:rPr>
        <w:t>, including termination of any relevant Health Home State Plan Amendment(s)</w:t>
      </w:r>
      <w:r w:rsidRPr="00F62AC9">
        <w:rPr>
          <w:sz w:val="24"/>
          <w:szCs w:val="24"/>
        </w:rPr>
        <w:t xml:space="preserve">. </w:t>
      </w:r>
    </w:p>
    <w:p w14:paraId="1FF79263" w14:textId="166343AF" w:rsid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sz w:val="24"/>
          <w:szCs w:val="24"/>
          <w:u w:val="single"/>
        </w:rPr>
        <w:t>Termination due to a Change in Law</w:t>
      </w:r>
      <w:r w:rsidR="003638D6">
        <w:rPr>
          <w:sz w:val="24"/>
          <w:szCs w:val="24"/>
        </w:rPr>
        <w:t xml:space="preserve"> –</w:t>
      </w:r>
      <w:r w:rsidRPr="00F62AC9">
        <w:rPr>
          <w:sz w:val="24"/>
          <w:szCs w:val="24"/>
        </w:rPr>
        <w:t xml:space="preserve"> In addition, CMS or the State may terminate upon 30 days’ notice due to a material change in law, or with less or no notice if required by law</w:t>
      </w:r>
      <w:r w:rsidR="00BB7FF2" w:rsidRPr="00F62AC9">
        <w:rPr>
          <w:sz w:val="24"/>
          <w:szCs w:val="24"/>
        </w:rPr>
        <w:t xml:space="preserve">. </w:t>
      </w:r>
    </w:p>
    <w:p w14:paraId="77B7B3A8" w14:textId="77777777" w:rsidR="00570097" w:rsidRDefault="00570097" w:rsidP="00F62AC9">
      <w:pPr>
        <w:pStyle w:val="BodyText2"/>
        <w:numPr>
          <w:ilvl w:val="1"/>
          <w:numId w:val="61"/>
        </w:numPr>
        <w:tabs>
          <w:tab w:val="clear" w:pos="1440"/>
          <w:tab w:val="clear" w:pos="2160"/>
          <w:tab w:val="clear" w:pos="4320"/>
          <w:tab w:val="left" w:pos="3690"/>
        </w:tabs>
        <w:spacing w:after="480" w:line="360" w:lineRule="auto"/>
        <w:ind w:left="1530" w:hanging="900"/>
        <w:rPr>
          <w:sz w:val="24"/>
          <w:szCs w:val="24"/>
        </w:rPr>
      </w:pPr>
      <w:r w:rsidRPr="00F62AC9">
        <w:rPr>
          <w:b/>
          <w:sz w:val="24"/>
          <w:szCs w:val="24"/>
        </w:rPr>
        <w:lastRenderedPageBreak/>
        <w:t xml:space="preserve">Demonstration phase-out: </w:t>
      </w:r>
      <w:r w:rsidRPr="00F62AC9">
        <w:rPr>
          <w:sz w:val="24"/>
          <w:szCs w:val="24"/>
        </w:rPr>
        <w:t xml:space="preserve">Any planned termination during or at the end of the Demonstration must follow the following procedures:  </w:t>
      </w:r>
    </w:p>
    <w:p w14:paraId="5D74301C" w14:textId="1C7D5E88"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t>Notification of Suspension or Termination</w:t>
      </w:r>
      <w:r w:rsidR="003638D6">
        <w:rPr>
          <w:sz w:val="24"/>
          <w:szCs w:val="24"/>
        </w:rPr>
        <w:t xml:space="preserve"> – </w:t>
      </w:r>
      <w:r w:rsidRPr="00F62AC9">
        <w:rPr>
          <w:sz w:val="24"/>
          <w:szCs w:val="24"/>
        </w:rPr>
        <w:t>The State must promptly notify CMS in writing of the reason(s) for the suspension or termination, together with the effective date and a phase-out plan</w:t>
      </w:r>
      <w:r w:rsidR="00BB7FF2" w:rsidRPr="00F62AC9">
        <w:rPr>
          <w:sz w:val="24"/>
          <w:szCs w:val="24"/>
        </w:rPr>
        <w:t xml:space="preserve">. </w:t>
      </w:r>
      <w:r w:rsidRPr="00F62AC9">
        <w:rPr>
          <w:sz w:val="24"/>
          <w:szCs w:val="24"/>
        </w:rPr>
        <w:t>The State must submit its notification letter and a draft phase-out plan to CMS no less than 5 months before the effective date of the Demonstration’s suspension or termination</w:t>
      </w:r>
      <w:r w:rsidR="00BB7FF2" w:rsidRPr="00F62AC9">
        <w:rPr>
          <w:sz w:val="24"/>
          <w:szCs w:val="24"/>
        </w:rPr>
        <w:t xml:space="preserve">. </w:t>
      </w:r>
      <w:r w:rsidRPr="00F62AC9">
        <w:rPr>
          <w:sz w:val="24"/>
          <w:szCs w:val="24"/>
        </w:rPr>
        <w:t>Prior to submitting the draft phase-out plan to CMS, the State must publish on its website the draft phase-out plan for a 30-day public comment period</w:t>
      </w:r>
      <w:r w:rsidR="00BB7FF2" w:rsidRPr="00F62AC9">
        <w:rPr>
          <w:sz w:val="24"/>
          <w:szCs w:val="24"/>
        </w:rPr>
        <w:t xml:space="preserve">. </w:t>
      </w:r>
      <w:r w:rsidRPr="00F62AC9">
        <w:rPr>
          <w:sz w:val="24"/>
          <w:szCs w:val="24"/>
        </w:rPr>
        <w:t>In addition, the State must conduct tribal consultation in accordance with its approved tribal consultation State Plan Amendment</w:t>
      </w:r>
      <w:r w:rsidR="00BB7FF2" w:rsidRPr="00F62AC9">
        <w:rPr>
          <w:sz w:val="24"/>
          <w:szCs w:val="24"/>
        </w:rPr>
        <w:t xml:space="preserve">. </w:t>
      </w:r>
      <w:r w:rsidRPr="00F62AC9">
        <w:rPr>
          <w:sz w:val="24"/>
          <w:szCs w:val="24"/>
        </w:rPr>
        <w:t>The State shall summarize comments received and share such summary with CMS</w:t>
      </w:r>
      <w:r w:rsidR="00BB7FF2" w:rsidRPr="00F62AC9">
        <w:rPr>
          <w:sz w:val="24"/>
          <w:szCs w:val="24"/>
        </w:rPr>
        <w:t xml:space="preserve">. </w:t>
      </w:r>
      <w:r w:rsidRPr="00F62AC9">
        <w:rPr>
          <w:sz w:val="24"/>
          <w:szCs w:val="24"/>
        </w:rPr>
        <w:t>The State must obtain CMS approval of the phase-out plan prior to the implementation of the phase-out activities</w:t>
      </w:r>
      <w:r w:rsidR="00BB7FF2" w:rsidRPr="00F62AC9">
        <w:rPr>
          <w:sz w:val="24"/>
          <w:szCs w:val="24"/>
        </w:rPr>
        <w:t xml:space="preserve">. </w:t>
      </w:r>
      <w:r w:rsidRPr="00F62AC9">
        <w:rPr>
          <w:sz w:val="24"/>
          <w:szCs w:val="24"/>
        </w:rPr>
        <w:t>Implementation of phase-out activities must begin no sooner than 14 days after CMS approval of the phase-out plan.</w:t>
      </w:r>
    </w:p>
    <w:p w14:paraId="4D669A95" w14:textId="77777777"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t>Phase-out Plan Requirements</w:t>
      </w:r>
      <w:r w:rsidRPr="00F62AC9">
        <w:rPr>
          <w:sz w:val="24"/>
          <w:szCs w:val="24"/>
        </w:rPr>
        <w:t xml:space="preserve"> - The State must include, at a minimum, in its phase-out plan the process by which it will notify affected beneficiaries, the content of said notices (including information on the beneficiary’s appeal rights), and any community outreach activities</w:t>
      </w:r>
      <w:r>
        <w:rPr>
          <w:sz w:val="24"/>
          <w:szCs w:val="24"/>
        </w:rPr>
        <w:t>.</w:t>
      </w:r>
    </w:p>
    <w:p w14:paraId="74451BFE" w14:textId="77777777"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t>Phase-out Procedures</w:t>
      </w:r>
      <w:r w:rsidRPr="00F62AC9">
        <w:rPr>
          <w:sz w:val="24"/>
          <w:szCs w:val="24"/>
        </w:rPr>
        <w:t xml:space="preserve"> – The State must comply with all notice requirements found in 42 CFR §431.206, 431.210 and 431.213.  In addition, the State must assure all appeal and hearing rights afforded to Demonstration participants as outlined in 42 CFR </w:t>
      </w:r>
      <w:r w:rsidRPr="00F62AC9">
        <w:rPr>
          <w:sz w:val="24"/>
          <w:szCs w:val="24"/>
        </w:rPr>
        <w:lastRenderedPageBreak/>
        <w:t>§431.220 and 431.221.  If a Demonstration participant requests a hearing before the date of action, the State must maintain benefits as required in 42 CFR §431.230.</w:t>
      </w:r>
    </w:p>
    <w:p w14:paraId="1A4FE59F" w14:textId="77777777" w:rsidR="00F62AC9" w:rsidRPr="0031136C"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Pr>
          <w:sz w:val="24"/>
          <w:szCs w:val="24"/>
          <w:u w:val="single"/>
        </w:rPr>
        <w:t xml:space="preserve">Federal Financial </w:t>
      </w:r>
      <w:r w:rsidRPr="00F62AC9">
        <w:rPr>
          <w:sz w:val="24"/>
          <w:szCs w:val="24"/>
          <w:u w:val="single"/>
        </w:rPr>
        <w:t>Participation (FFP)</w:t>
      </w:r>
      <w:r w:rsidRPr="00F62AC9">
        <w:rPr>
          <w:sz w:val="24"/>
          <w:szCs w:val="24"/>
        </w:rPr>
        <w:t xml:space="preserve"> – If the Demonstration is terminated, FFP shall be limited to normal closeout costs associated with terminating the Demonstration including services and administrative costs of disenrolling participating enrollees from health home services to the extent health home services are </w:t>
      </w:r>
      <w:r w:rsidRPr="0031136C">
        <w:rPr>
          <w:sz w:val="24"/>
          <w:szCs w:val="24"/>
        </w:rPr>
        <w:t>terminated.</w:t>
      </w:r>
    </w:p>
    <w:p w14:paraId="0628D277" w14:textId="3200D4B0" w:rsidR="0031136C" w:rsidRPr="0031136C" w:rsidRDefault="0031136C" w:rsidP="0031136C">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31136C">
        <w:rPr>
          <w:sz w:val="24"/>
          <w:szCs w:val="24"/>
          <w:u w:val="single"/>
        </w:rPr>
        <w:t>Health Home SPAs</w:t>
      </w:r>
      <w:r w:rsidRPr="0031136C">
        <w:rPr>
          <w:sz w:val="24"/>
          <w:szCs w:val="24"/>
        </w:rPr>
        <w:t xml:space="preserve"> – If as part of the termination of this Demonstration the State is also making changes to or terminating its health home SPAs, the State must follow the requirements of the health home SPAs. If the State terminates its health home </w:t>
      </w:r>
      <w:r w:rsidRPr="00416456">
        <w:rPr>
          <w:sz w:val="24"/>
          <w:szCs w:val="24"/>
        </w:rPr>
        <w:t>SPAs, this Demonstration will also terminate on the same date, and the State shall follow the notification requirements under Section VI.</w:t>
      </w:r>
      <w:r w:rsidR="00737FEF" w:rsidRPr="00416456">
        <w:rPr>
          <w:sz w:val="24"/>
          <w:szCs w:val="24"/>
        </w:rPr>
        <w:t>B</w:t>
      </w:r>
      <w:r w:rsidRPr="00416456">
        <w:rPr>
          <w:sz w:val="24"/>
          <w:szCs w:val="24"/>
        </w:rPr>
        <w:t>.</w:t>
      </w:r>
    </w:p>
    <w:p w14:paraId="671EE091" w14:textId="1F821BE8" w:rsidR="0031136C" w:rsidRDefault="0031136C" w:rsidP="0031136C">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31136C">
        <w:rPr>
          <w:sz w:val="24"/>
          <w:szCs w:val="24"/>
        </w:rPr>
        <w:t xml:space="preserve"> </w:t>
      </w:r>
      <w:r w:rsidRPr="0031136C">
        <w:rPr>
          <w:sz w:val="24"/>
          <w:szCs w:val="24"/>
          <w:u w:val="single"/>
        </w:rPr>
        <w:t>Close Out of Performance Payment</w:t>
      </w:r>
      <w:r w:rsidRPr="0031136C">
        <w:rPr>
          <w:sz w:val="24"/>
          <w:szCs w:val="24"/>
        </w:rPr>
        <w:t xml:space="preserve"> – If the Demonstration is terminated for cause due to a material breach of a provision of this MOU or the Final Demonstration Agreement, the State will not be eligible to receive any outstanding performance payments</w:t>
      </w:r>
      <w:r w:rsidR="001C76DB" w:rsidRPr="0031136C">
        <w:rPr>
          <w:sz w:val="24"/>
          <w:szCs w:val="24"/>
        </w:rPr>
        <w:t xml:space="preserve">. </w:t>
      </w:r>
      <w:r w:rsidRPr="0031136C">
        <w:rPr>
          <w:sz w:val="24"/>
          <w:szCs w:val="24"/>
        </w:rPr>
        <w:t xml:space="preserve">If the Demonstration is terminated without cause by the State, the State will only be eligible to receive performance payment(s) for performance in Demonstration </w:t>
      </w:r>
      <w:r w:rsidR="001C68CA">
        <w:rPr>
          <w:sz w:val="24"/>
          <w:szCs w:val="24"/>
        </w:rPr>
        <w:t>Y</w:t>
      </w:r>
      <w:r w:rsidRPr="0031136C">
        <w:rPr>
          <w:sz w:val="24"/>
          <w:szCs w:val="24"/>
        </w:rPr>
        <w:t>ear(s) that have concluded prior to termination</w:t>
      </w:r>
      <w:r w:rsidR="001C76DB" w:rsidRPr="0031136C">
        <w:rPr>
          <w:sz w:val="24"/>
          <w:szCs w:val="24"/>
        </w:rPr>
        <w:t xml:space="preserve">. </w:t>
      </w:r>
      <w:r w:rsidRPr="0031136C">
        <w:rPr>
          <w:sz w:val="24"/>
          <w:szCs w:val="24"/>
        </w:rPr>
        <w:t>If the Demonstration is terminated without cause by CMS, the State will be eligible to receive a prorated performance payment for the time period up until the termination of the Demonstration.</w:t>
      </w:r>
      <w:bookmarkStart w:id="28" w:name="_Toc359320440"/>
      <w:bookmarkStart w:id="29" w:name="_Toc356922995"/>
    </w:p>
    <w:p w14:paraId="269A0381" w14:textId="77777777" w:rsidR="0031136C" w:rsidRDefault="00CA507F" w:rsidP="00BE7ABA">
      <w:pPr>
        <w:pStyle w:val="BodyText2"/>
        <w:numPr>
          <w:ilvl w:val="0"/>
          <w:numId w:val="61"/>
        </w:numPr>
        <w:tabs>
          <w:tab w:val="clear" w:pos="1440"/>
          <w:tab w:val="clear" w:pos="2160"/>
          <w:tab w:val="clear" w:pos="4320"/>
          <w:tab w:val="left" w:pos="810"/>
          <w:tab w:val="left" w:pos="3690"/>
        </w:tabs>
        <w:spacing w:after="480" w:line="360" w:lineRule="auto"/>
        <w:outlineLvl w:val="0"/>
        <w:rPr>
          <w:b/>
          <w:sz w:val="24"/>
          <w:szCs w:val="24"/>
        </w:rPr>
      </w:pPr>
      <w:bookmarkStart w:id="30" w:name="_Toc521327544"/>
      <w:r w:rsidRPr="0031136C">
        <w:rPr>
          <w:b/>
          <w:sz w:val="24"/>
          <w:szCs w:val="24"/>
        </w:rPr>
        <w:lastRenderedPageBreak/>
        <w:t>STANDARD CMS TERMS AND CONDITIONS</w:t>
      </w:r>
      <w:bookmarkEnd w:id="28"/>
      <w:bookmarkEnd w:id="29"/>
      <w:bookmarkEnd w:id="30"/>
      <w:r w:rsidRPr="0031136C">
        <w:rPr>
          <w:b/>
          <w:sz w:val="24"/>
          <w:szCs w:val="24"/>
        </w:rPr>
        <w:t xml:space="preserve"> </w:t>
      </w:r>
    </w:p>
    <w:p w14:paraId="7D8523C2" w14:textId="3ACA5C34" w:rsidR="0031136C" w:rsidRPr="0031136C" w:rsidRDefault="00CA507F" w:rsidP="0031136C">
      <w:pPr>
        <w:pStyle w:val="BodyText2"/>
        <w:numPr>
          <w:ilvl w:val="1"/>
          <w:numId w:val="61"/>
        </w:numPr>
        <w:tabs>
          <w:tab w:val="clear" w:pos="1440"/>
          <w:tab w:val="clear" w:pos="2160"/>
          <w:tab w:val="clear" w:pos="2880"/>
          <w:tab w:val="clear" w:pos="4320"/>
          <w:tab w:val="left" w:pos="1530"/>
          <w:tab w:val="left" w:pos="3690"/>
        </w:tabs>
        <w:spacing w:after="480" w:line="360" w:lineRule="auto"/>
        <w:ind w:left="1530" w:hanging="900"/>
        <w:rPr>
          <w:b/>
          <w:sz w:val="24"/>
          <w:szCs w:val="24"/>
        </w:rPr>
      </w:pPr>
      <w:r w:rsidRPr="0031136C">
        <w:rPr>
          <w:b/>
          <w:sz w:val="24"/>
          <w:szCs w:val="24"/>
        </w:rPr>
        <w:t>Payments</w:t>
      </w:r>
      <w:r w:rsidR="003638D6">
        <w:rPr>
          <w:b/>
          <w:sz w:val="24"/>
          <w:szCs w:val="24"/>
        </w:rPr>
        <w:t xml:space="preserve"> </w:t>
      </w:r>
      <w:r w:rsidR="003638D6" w:rsidRPr="003638D6">
        <w:rPr>
          <w:bCs/>
          <w:sz w:val="24"/>
          <w:szCs w:val="24"/>
        </w:rPr>
        <w:t xml:space="preserve">– </w:t>
      </w:r>
      <w:r w:rsidRPr="0031136C">
        <w:rPr>
          <w:sz w:val="24"/>
          <w:szCs w:val="24"/>
        </w:rPr>
        <w:t>The State will be e</w:t>
      </w:r>
      <w:r w:rsidR="00960C57" w:rsidRPr="0031136C">
        <w:rPr>
          <w:sz w:val="24"/>
          <w:szCs w:val="24"/>
        </w:rPr>
        <w:t>ntitled to payments under this D</w:t>
      </w:r>
      <w:r w:rsidRPr="0031136C">
        <w:rPr>
          <w:sz w:val="24"/>
          <w:szCs w:val="24"/>
        </w:rPr>
        <w:t>emonstration</w:t>
      </w:r>
      <w:r w:rsidR="008C7605" w:rsidRPr="0031136C">
        <w:rPr>
          <w:sz w:val="24"/>
          <w:szCs w:val="24"/>
        </w:rPr>
        <w:t xml:space="preserve"> only</w:t>
      </w:r>
      <w:r w:rsidRPr="0031136C">
        <w:rPr>
          <w:sz w:val="24"/>
          <w:szCs w:val="24"/>
        </w:rPr>
        <w:t xml:space="preserve"> </w:t>
      </w:r>
      <w:r w:rsidR="00DB4E36" w:rsidRPr="0031136C">
        <w:rPr>
          <w:sz w:val="24"/>
          <w:szCs w:val="24"/>
        </w:rPr>
        <w:t xml:space="preserve">if all conditions of the MOU (signed by the parties on October 24, 2012) </w:t>
      </w:r>
      <w:r w:rsidR="00DB4E36" w:rsidRPr="0031136C">
        <w:rPr>
          <w:bCs/>
          <w:sz w:val="24"/>
          <w:szCs w:val="24"/>
        </w:rPr>
        <w:t xml:space="preserve">and this </w:t>
      </w:r>
      <w:r w:rsidR="00126539" w:rsidRPr="0031136C">
        <w:rPr>
          <w:bCs/>
          <w:sz w:val="24"/>
          <w:szCs w:val="24"/>
        </w:rPr>
        <w:t>A</w:t>
      </w:r>
      <w:r w:rsidR="00DB4E36" w:rsidRPr="0031136C">
        <w:rPr>
          <w:bCs/>
          <w:sz w:val="24"/>
          <w:szCs w:val="24"/>
        </w:rPr>
        <w:t>greement</w:t>
      </w:r>
      <w:r w:rsidR="00DB4E36" w:rsidRPr="0031136C">
        <w:rPr>
          <w:sz w:val="24"/>
          <w:szCs w:val="24"/>
        </w:rPr>
        <w:t xml:space="preserve"> </w:t>
      </w:r>
      <w:r w:rsidR="00943916" w:rsidRPr="0031136C">
        <w:rPr>
          <w:sz w:val="24"/>
          <w:szCs w:val="24"/>
        </w:rPr>
        <w:t xml:space="preserve">(signed </w:t>
      </w:r>
      <w:r w:rsidR="00DF7919" w:rsidRPr="0031136C">
        <w:rPr>
          <w:sz w:val="24"/>
          <w:szCs w:val="24"/>
        </w:rPr>
        <w:t>June 28</w:t>
      </w:r>
      <w:r w:rsidR="00943916" w:rsidRPr="0031136C">
        <w:rPr>
          <w:sz w:val="24"/>
          <w:szCs w:val="24"/>
        </w:rPr>
        <w:t xml:space="preserve">, 2013) and any amendments to this Agreement, </w:t>
      </w:r>
      <w:r w:rsidR="00DB4E36" w:rsidRPr="0031136C">
        <w:rPr>
          <w:sz w:val="24"/>
          <w:szCs w:val="24"/>
        </w:rPr>
        <w:t>have been satisfied, including compliance with any waivers or other authorities upon which the MOU was contingent</w:t>
      </w:r>
      <w:r w:rsidR="00DB4E36" w:rsidRPr="0031136C">
        <w:rPr>
          <w:b/>
          <w:bCs/>
          <w:sz w:val="24"/>
          <w:szCs w:val="24"/>
        </w:rPr>
        <w:t>.</w:t>
      </w:r>
    </w:p>
    <w:p w14:paraId="77B9B6A5" w14:textId="0677FB22" w:rsidR="0031136C" w:rsidRPr="0031136C" w:rsidRDefault="00CA507F" w:rsidP="0031136C">
      <w:pPr>
        <w:pStyle w:val="BodyText2"/>
        <w:numPr>
          <w:ilvl w:val="1"/>
          <w:numId w:val="61"/>
        </w:numPr>
        <w:tabs>
          <w:tab w:val="clear" w:pos="1440"/>
          <w:tab w:val="clear" w:pos="2160"/>
          <w:tab w:val="clear" w:pos="2880"/>
          <w:tab w:val="clear" w:pos="4320"/>
          <w:tab w:val="left" w:pos="1530"/>
          <w:tab w:val="left" w:pos="3690"/>
        </w:tabs>
        <w:spacing w:after="480" w:line="360" w:lineRule="auto"/>
        <w:ind w:left="1530" w:hanging="900"/>
        <w:rPr>
          <w:b/>
          <w:sz w:val="24"/>
          <w:szCs w:val="24"/>
        </w:rPr>
      </w:pPr>
      <w:r w:rsidRPr="0031136C">
        <w:rPr>
          <w:b/>
          <w:sz w:val="24"/>
          <w:szCs w:val="24"/>
        </w:rPr>
        <w:t>Order of Precedence</w:t>
      </w:r>
      <w:r w:rsidR="003638D6">
        <w:rPr>
          <w:sz w:val="24"/>
          <w:szCs w:val="24"/>
        </w:rPr>
        <w:t xml:space="preserve"> – </w:t>
      </w:r>
      <w:r w:rsidRPr="0031136C">
        <w:rPr>
          <w:sz w:val="24"/>
          <w:szCs w:val="24"/>
        </w:rPr>
        <w:t xml:space="preserve">Any inconsistency in the documents referenced in this </w:t>
      </w:r>
      <w:r w:rsidR="00126539" w:rsidRPr="0031136C">
        <w:rPr>
          <w:sz w:val="24"/>
          <w:szCs w:val="24"/>
        </w:rPr>
        <w:t>Agreement</w:t>
      </w:r>
      <w:r w:rsidRPr="0031136C">
        <w:rPr>
          <w:sz w:val="24"/>
          <w:szCs w:val="24"/>
        </w:rPr>
        <w:t xml:space="preserve"> shall be resolved by giving precedence in the following order:</w:t>
      </w:r>
    </w:p>
    <w:p w14:paraId="2AA0CACF" w14:textId="77777777" w:rsidR="0031136C" w:rsidRPr="0031136C" w:rsidRDefault="00DB4E36"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W</w:t>
      </w:r>
      <w:r w:rsidR="00CA507F" w:rsidRPr="0031136C">
        <w:rPr>
          <w:sz w:val="24"/>
          <w:szCs w:val="24"/>
        </w:rPr>
        <w:t xml:space="preserve">aivers </w:t>
      </w:r>
      <w:r w:rsidRPr="0031136C">
        <w:rPr>
          <w:sz w:val="24"/>
          <w:szCs w:val="24"/>
        </w:rPr>
        <w:t>or other authorities</w:t>
      </w:r>
      <w:r w:rsidR="00491AA9" w:rsidRPr="0031136C">
        <w:rPr>
          <w:sz w:val="24"/>
          <w:szCs w:val="24"/>
        </w:rPr>
        <w:t>, including any Health Home State Plan Amendments,</w:t>
      </w:r>
      <w:r w:rsidRPr="0031136C">
        <w:rPr>
          <w:sz w:val="24"/>
          <w:szCs w:val="24"/>
        </w:rPr>
        <w:t xml:space="preserve"> </w:t>
      </w:r>
      <w:r w:rsidR="00CA507F" w:rsidRPr="0031136C">
        <w:rPr>
          <w:sz w:val="24"/>
          <w:szCs w:val="24"/>
        </w:rPr>
        <w:t xml:space="preserve">referenced in </w:t>
      </w:r>
      <w:r w:rsidR="008C7605" w:rsidRPr="0031136C">
        <w:rPr>
          <w:sz w:val="24"/>
          <w:szCs w:val="24"/>
        </w:rPr>
        <w:t xml:space="preserve">Section </w:t>
      </w:r>
      <w:r w:rsidR="00A6306B" w:rsidRPr="0031136C">
        <w:rPr>
          <w:sz w:val="24"/>
          <w:szCs w:val="24"/>
        </w:rPr>
        <w:t>I</w:t>
      </w:r>
      <w:r w:rsidR="00CA507F" w:rsidRPr="0031136C">
        <w:rPr>
          <w:sz w:val="24"/>
          <w:szCs w:val="24"/>
        </w:rPr>
        <w:t xml:space="preserve">V of this </w:t>
      </w:r>
      <w:r w:rsidR="00A6306B" w:rsidRPr="0031136C">
        <w:rPr>
          <w:sz w:val="24"/>
          <w:szCs w:val="24"/>
        </w:rPr>
        <w:t>Agreement</w:t>
      </w:r>
      <w:r w:rsidR="00CA507F" w:rsidRPr="0031136C">
        <w:rPr>
          <w:sz w:val="24"/>
          <w:szCs w:val="24"/>
        </w:rPr>
        <w:t xml:space="preserve">. </w:t>
      </w:r>
    </w:p>
    <w:p w14:paraId="75912C35" w14:textId="77777777" w:rsidR="0031136C" w:rsidRPr="0031136C" w:rsidRDefault="00943916"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Any amendments to this Agreement.</w:t>
      </w:r>
    </w:p>
    <w:p w14:paraId="5D59D241" w14:textId="77777777" w:rsidR="0031136C" w:rsidRPr="0031136C" w:rsidRDefault="00CA507F"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This Agreement</w:t>
      </w:r>
      <w:r w:rsidR="00CA160C">
        <w:rPr>
          <w:sz w:val="24"/>
          <w:szCs w:val="24"/>
        </w:rPr>
        <w:t>.</w:t>
      </w:r>
    </w:p>
    <w:p w14:paraId="59E4021F" w14:textId="77777777" w:rsidR="0031136C" w:rsidRPr="0031136C" w:rsidRDefault="008C7605"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The</w:t>
      </w:r>
      <w:r w:rsidR="00CA507F" w:rsidRPr="0031136C">
        <w:rPr>
          <w:sz w:val="24"/>
          <w:szCs w:val="24"/>
        </w:rPr>
        <w:t xml:space="preserve"> MOU.</w:t>
      </w:r>
    </w:p>
    <w:p w14:paraId="1B32386E" w14:textId="77777777" w:rsidR="0031136C" w:rsidRDefault="00CA507F"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 xml:space="preserve">The </w:t>
      </w:r>
      <w:r w:rsidR="00DB4E36" w:rsidRPr="0031136C">
        <w:rPr>
          <w:sz w:val="24"/>
          <w:szCs w:val="24"/>
        </w:rPr>
        <w:t>S</w:t>
      </w:r>
      <w:r w:rsidRPr="0031136C">
        <w:rPr>
          <w:sz w:val="24"/>
          <w:szCs w:val="24"/>
        </w:rPr>
        <w:t xml:space="preserve">tate’s proposal </w:t>
      </w:r>
      <w:r w:rsidR="008C7605" w:rsidRPr="0031136C">
        <w:rPr>
          <w:sz w:val="24"/>
          <w:szCs w:val="24"/>
        </w:rPr>
        <w:t>and</w:t>
      </w:r>
      <w:r w:rsidRPr="0031136C">
        <w:rPr>
          <w:sz w:val="24"/>
          <w:szCs w:val="24"/>
        </w:rPr>
        <w:t xml:space="preserve"> application documents.</w:t>
      </w:r>
    </w:p>
    <w:p w14:paraId="70AB8D47" w14:textId="748D1C2F" w:rsidR="0031136C" w:rsidRDefault="00CA507F" w:rsidP="0031136C">
      <w:pPr>
        <w:pStyle w:val="BodyText2"/>
        <w:numPr>
          <w:ilvl w:val="1"/>
          <w:numId w:val="61"/>
        </w:numPr>
        <w:tabs>
          <w:tab w:val="clear" w:pos="1440"/>
          <w:tab w:val="clear" w:pos="2160"/>
          <w:tab w:val="clear" w:pos="4320"/>
          <w:tab w:val="left" w:pos="3690"/>
        </w:tabs>
        <w:spacing w:after="480" w:line="360" w:lineRule="auto"/>
        <w:ind w:left="1530" w:hanging="900"/>
        <w:rPr>
          <w:sz w:val="24"/>
          <w:szCs w:val="24"/>
        </w:rPr>
      </w:pPr>
      <w:r w:rsidRPr="0031136C">
        <w:rPr>
          <w:b/>
          <w:iCs/>
          <w:sz w:val="24"/>
          <w:szCs w:val="24"/>
        </w:rPr>
        <w:t>Changes</w:t>
      </w:r>
      <w:r w:rsidR="003638D6">
        <w:rPr>
          <w:b/>
          <w:iCs/>
          <w:sz w:val="24"/>
          <w:szCs w:val="24"/>
        </w:rPr>
        <w:t xml:space="preserve"> – </w:t>
      </w:r>
      <w:r w:rsidRPr="0031136C">
        <w:rPr>
          <w:sz w:val="24"/>
          <w:szCs w:val="24"/>
        </w:rPr>
        <w:t>Changes in the terms and conditions of this Agreement may be made only by written agreement of the parties</w:t>
      </w:r>
      <w:bookmarkStart w:id="31" w:name="_Toc359320441"/>
      <w:bookmarkStart w:id="32" w:name="_Toc356922996"/>
      <w:bookmarkEnd w:id="27"/>
      <w:r w:rsidR="007B3C0A">
        <w:rPr>
          <w:sz w:val="24"/>
          <w:szCs w:val="24"/>
        </w:rPr>
        <w:t>.</w:t>
      </w:r>
    </w:p>
    <w:p w14:paraId="0057DB47" w14:textId="77777777" w:rsidR="0031136C" w:rsidRPr="0031136C" w:rsidRDefault="0031136C" w:rsidP="0031136C">
      <w:pPr>
        <w:pStyle w:val="BodyText2"/>
        <w:tabs>
          <w:tab w:val="clear" w:pos="1440"/>
          <w:tab w:val="clear" w:pos="2160"/>
          <w:tab w:val="clear" w:pos="4320"/>
          <w:tab w:val="left" w:pos="3690"/>
        </w:tabs>
        <w:spacing w:after="480" w:line="360" w:lineRule="auto"/>
        <w:ind w:left="1530"/>
        <w:rPr>
          <w:sz w:val="24"/>
          <w:szCs w:val="24"/>
        </w:rPr>
        <w:sectPr w:rsidR="0031136C" w:rsidRPr="0031136C" w:rsidSect="00F312F6">
          <w:endnotePr>
            <w:numFmt w:val="decimal"/>
          </w:endnotePr>
          <w:pgSz w:w="12240" w:h="15840" w:code="1"/>
          <w:pgMar w:top="1872" w:right="1440" w:bottom="1440" w:left="1440" w:header="720" w:footer="720" w:gutter="0"/>
          <w:cols w:space="720"/>
          <w:noEndnote/>
          <w:docGrid w:linePitch="326"/>
        </w:sectPr>
      </w:pPr>
    </w:p>
    <w:p w14:paraId="4583D748" w14:textId="77777777" w:rsidR="009D1906" w:rsidRPr="00B015F5" w:rsidRDefault="009D1906" w:rsidP="00BE7ABA">
      <w:pPr>
        <w:pStyle w:val="Heading1"/>
        <w:keepNext/>
        <w:keepLines/>
        <w:numPr>
          <w:ilvl w:val="0"/>
          <w:numId w:val="61"/>
        </w:numPr>
        <w:spacing w:line="360" w:lineRule="auto"/>
        <w:ind w:hanging="1080"/>
      </w:pPr>
      <w:bookmarkStart w:id="33" w:name="_Toc521327545"/>
      <w:r w:rsidRPr="00B015F5">
        <w:lastRenderedPageBreak/>
        <w:t>SIGNATURES</w:t>
      </w:r>
      <w:bookmarkEnd w:id="31"/>
      <w:bookmarkEnd w:id="32"/>
      <w:bookmarkEnd w:id="33"/>
    </w:p>
    <w:p w14:paraId="6DE6D09A" w14:textId="77777777" w:rsidR="009D1906" w:rsidRPr="00B015F5" w:rsidRDefault="009D1906" w:rsidP="009D1906"/>
    <w:p w14:paraId="4ADD9E4E" w14:textId="0A89F41A" w:rsidR="009D1906" w:rsidRPr="00617416" w:rsidRDefault="009D1906" w:rsidP="009D1906">
      <w:pPr>
        <w:spacing w:line="360" w:lineRule="auto"/>
      </w:pPr>
      <w:r w:rsidRPr="00B015F5">
        <w:t>This Final Demonstration Agreement is eff</w:t>
      </w:r>
      <w:r w:rsidRPr="007D1296">
        <w:t>ective on</w:t>
      </w:r>
      <w:r w:rsidR="00EF27D2" w:rsidRPr="007D1296">
        <w:t xml:space="preserve"> </w:t>
      </w:r>
      <w:r w:rsidR="007D1296" w:rsidRPr="007D1296">
        <w:t>December</w:t>
      </w:r>
      <w:r w:rsidR="003638D6" w:rsidRPr="007D1296">
        <w:t xml:space="preserve"> </w:t>
      </w:r>
      <w:r w:rsidR="007F07D1">
        <w:t>2</w:t>
      </w:r>
      <w:r w:rsidR="007D1296" w:rsidRPr="007D1296">
        <w:t>0</w:t>
      </w:r>
      <w:r w:rsidR="00EF27D2" w:rsidRPr="007D1296">
        <w:t>, 202</w:t>
      </w:r>
      <w:r w:rsidR="00EE22C2" w:rsidRPr="007D1296">
        <w:t>3</w:t>
      </w:r>
      <w:r w:rsidR="00473C69" w:rsidRPr="007D1296">
        <w:t>.</w:t>
      </w:r>
    </w:p>
    <w:p w14:paraId="330EE1A4" w14:textId="77777777" w:rsidR="009D1906" w:rsidRPr="00517AB9" w:rsidRDefault="009D1906" w:rsidP="009D1906">
      <w:pPr>
        <w:spacing w:line="360" w:lineRule="auto"/>
        <w:rPr>
          <w:u w:val="single"/>
        </w:rPr>
      </w:pPr>
    </w:p>
    <w:p w14:paraId="5CF3191B" w14:textId="77777777" w:rsidR="009D1906" w:rsidRPr="00617416" w:rsidRDefault="009D1906" w:rsidP="009D1906">
      <w:pPr>
        <w:spacing w:line="360" w:lineRule="auto"/>
      </w:pPr>
      <w:r w:rsidRPr="00617416">
        <w:t>In Witness Whereof, CMS and the State of Washington have caused this Agreement to be executed by their respective authorized officers:</w:t>
      </w:r>
    </w:p>
    <w:p w14:paraId="75171A6A" w14:textId="77777777" w:rsidR="009D1906" w:rsidRPr="00617416" w:rsidRDefault="009D1906" w:rsidP="009D1906"/>
    <w:p w14:paraId="125D4D25" w14:textId="77777777" w:rsidR="009D1906" w:rsidRPr="00617416" w:rsidRDefault="009D1906" w:rsidP="009D1906"/>
    <w:p w14:paraId="20654901" w14:textId="77777777" w:rsidR="009D1906" w:rsidRPr="00617416" w:rsidRDefault="009D1906" w:rsidP="009D1906">
      <w:pPr>
        <w:rPr>
          <w:b/>
          <w:bCs/>
        </w:rPr>
      </w:pPr>
      <w:r w:rsidRPr="00617416">
        <w:rPr>
          <w:b/>
          <w:bCs/>
        </w:rPr>
        <w:t>United States Department of Health and Human Services, Centers for Medicare &amp; Medicaid Services:</w:t>
      </w:r>
    </w:p>
    <w:p w14:paraId="68AE668E" w14:textId="77777777" w:rsidR="009D1906" w:rsidRPr="00617416" w:rsidRDefault="009D1906" w:rsidP="009D1906">
      <w:pPr>
        <w:rPr>
          <w:bCs/>
        </w:rPr>
      </w:pPr>
    </w:p>
    <w:p w14:paraId="05A14276" w14:textId="77777777" w:rsidR="009D1906" w:rsidRPr="00617416" w:rsidRDefault="009D1906" w:rsidP="009D1906"/>
    <w:p w14:paraId="167F596C" w14:textId="443638A1" w:rsidR="009D1906" w:rsidRPr="00617416" w:rsidRDefault="009D1906" w:rsidP="009D1906">
      <w:pPr>
        <w:rPr>
          <w:b/>
          <w:u w:val="single"/>
        </w:rPr>
      </w:pPr>
      <w:r w:rsidRPr="00617416">
        <w:rPr>
          <w:b/>
          <w:u w:val="single"/>
        </w:rPr>
        <w:t>___________________________</w:t>
      </w:r>
      <w:r w:rsidR="005C0817">
        <w:rPr>
          <w:b/>
          <w:u w:val="single"/>
        </w:rPr>
        <w:tab/>
      </w:r>
      <w:r w:rsidR="005C0817" w:rsidRPr="005C0817">
        <w:rPr>
          <w:b/>
        </w:rPr>
        <w:tab/>
      </w:r>
      <w:r w:rsidR="005C0817" w:rsidRPr="005C0817">
        <w:rPr>
          <w:b/>
        </w:rPr>
        <w:tab/>
      </w:r>
      <w:r w:rsidR="005C0817" w:rsidRPr="005C0817">
        <w:rPr>
          <w:b/>
        </w:rPr>
        <w:tab/>
      </w:r>
      <w:r w:rsidRPr="00617416">
        <w:rPr>
          <w:b/>
          <w:u w:val="single"/>
        </w:rPr>
        <w:t>_________________________</w:t>
      </w:r>
    </w:p>
    <w:p w14:paraId="2E9652B0" w14:textId="77777777" w:rsidR="009D1906" w:rsidRPr="00617416" w:rsidRDefault="009D1906" w:rsidP="009D1906">
      <w:bookmarkStart w:id="34" w:name="_Toc338848612"/>
      <w:r w:rsidRPr="00617416">
        <w:t>Lindsay P. Barnette</w:t>
      </w:r>
      <w:r w:rsidR="00B376CB" w:rsidRPr="00617416">
        <w:tab/>
      </w:r>
      <w:r w:rsidR="00B376CB" w:rsidRPr="00617416">
        <w:tab/>
      </w:r>
      <w:r w:rsidR="00B376CB" w:rsidRPr="00617416">
        <w:tab/>
      </w:r>
      <w:r w:rsidR="00B376CB" w:rsidRPr="00617416">
        <w:tab/>
      </w:r>
      <w:r w:rsidR="00B376CB" w:rsidRPr="00617416">
        <w:tab/>
      </w:r>
      <w:r w:rsidR="00B376CB" w:rsidRPr="00617416">
        <w:tab/>
      </w:r>
      <w:r w:rsidRPr="00617416">
        <w:t>(Date)</w:t>
      </w:r>
      <w:bookmarkEnd w:id="34"/>
    </w:p>
    <w:p w14:paraId="57EEE43B" w14:textId="7B000168" w:rsidR="009D1906" w:rsidRPr="00617416" w:rsidRDefault="009D1906" w:rsidP="009D1906">
      <w:r w:rsidRPr="00617416">
        <w:t>Director, Models, Demonstrations and Analy</w:t>
      </w:r>
      <w:r w:rsidR="003F1009">
        <w:t>sis</w:t>
      </w:r>
      <w:r w:rsidRPr="00617416">
        <w:t xml:space="preserve"> Group</w:t>
      </w:r>
    </w:p>
    <w:p w14:paraId="02B6916A" w14:textId="77777777" w:rsidR="009D1906" w:rsidRPr="00617416" w:rsidRDefault="009D1906" w:rsidP="009D1906">
      <w:r w:rsidRPr="00617416">
        <w:t xml:space="preserve">Federal Coordinated Health Care Office </w:t>
      </w:r>
    </w:p>
    <w:p w14:paraId="32D95DD2" w14:textId="77777777" w:rsidR="009D1906" w:rsidRDefault="009D1906" w:rsidP="009D1906">
      <w:pPr>
        <w:rPr>
          <w:bCs/>
        </w:rPr>
      </w:pPr>
      <w:bookmarkStart w:id="35" w:name="_Toc338848614"/>
    </w:p>
    <w:p w14:paraId="6F2740CB" w14:textId="77777777" w:rsidR="005C0817" w:rsidRPr="00617416" w:rsidRDefault="005C0817" w:rsidP="009D1906">
      <w:pPr>
        <w:rPr>
          <w:bCs/>
        </w:rPr>
      </w:pPr>
    </w:p>
    <w:p w14:paraId="57F108EB" w14:textId="77777777" w:rsidR="009D1906" w:rsidRPr="00090F87" w:rsidRDefault="009D1906" w:rsidP="009D1906">
      <w:pPr>
        <w:rPr>
          <w:b/>
          <w:bCs/>
        </w:rPr>
      </w:pPr>
      <w:r w:rsidRPr="00090F87">
        <w:rPr>
          <w:b/>
          <w:bCs/>
        </w:rPr>
        <w:t>State of Washington:</w:t>
      </w:r>
      <w:bookmarkEnd w:id="35"/>
    </w:p>
    <w:p w14:paraId="54F01216" w14:textId="77777777" w:rsidR="009D1906" w:rsidRPr="00090F87" w:rsidRDefault="009D1906" w:rsidP="009D1906">
      <w:pPr>
        <w:rPr>
          <w:bCs/>
        </w:rPr>
      </w:pPr>
    </w:p>
    <w:p w14:paraId="18F2B35B" w14:textId="77777777" w:rsidR="009D1906" w:rsidRPr="00090F87" w:rsidRDefault="009D1906" w:rsidP="009D1906"/>
    <w:p w14:paraId="31D769F9" w14:textId="77777777" w:rsidR="009D1906" w:rsidRPr="00090F87" w:rsidRDefault="009D1906" w:rsidP="009D1906">
      <w:pPr>
        <w:rPr>
          <w:u w:val="single"/>
        </w:rPr>
      </w:pPr>
      <w:r w:rsidRPr="00090F87">
        <w:rPr>
          <w:b/>
          <w:u w:val="single"/>
        </w:rPr>
        <w:t>___________________________</w:t>
      </w:r>
      <w:r w:rsidR="00B376CB" w:rsidRPr="00090F87">
        <w:tab/>
      </w:r>
      <w:r w:rsidR="00B376CB" w:rsidRPr="00090F87">
        <w:tab/>
      </w:r>
      <w:r w:rsidR="00B376CB" w:rsidRPr="00090F87">
        <w:tab/>
      </w:r>
      <w:r w:rsidR="00B376CB" w:rsidRPr="00090F87">
        <w:tab/>
      </w:r>
      <w:r w:rsidRPr="00090F87">
        <w:rPr>
          <w:b/>
          <w:u w:val="single"/>
        </w:rPr>
        <w:t>_________________________</w:t>
      </w:r>
    </w:p>
    <w:p w14:paraId="30094CF9" w14:textId="7569BF63" w:rsidR="009D1906" w:rsidRPr="00090F87" w:rsidRDefault="00997972" w:rsidP="009D1906">
      <w:pPr>
        <w:rPr>
          <w:color w:val="1F497D"/>
          <w:sz w:val="22"/>
          <w:szCs w:val="22"/>
        </w:rPr>
      </w:pPr>
      <w:bookmarkStart w:id="36" w:name="_Toc338848615"/>
      <w:r w:rsidRPr="00090F87">
        <w:t xml:space="preserve">Jilma Meneses </w:t>
      </w:r>
      <w:r w:rsidR="003F1009" w:rsidRPr="00090F87">
        <w:tab/>
      </w:r>
      <w:r w:rsidR="003F1009" w:rsidRPr="00090F87">
        <w:tab/>
      </w:r>
      <w:r w:rsidR="003F1009" w:rsidRPr="00090F87">
        <w:tab/>
      </w:r>
      <w:r w:rsidR="003F1009" w:rsidRPr="00090F87">
        <w:tab/>
      </w:r>
      <w:r w:rsidR="003F1009" w:rsidRPr="00090F87">
        <w:tab/>
      </w:r>
      <w:r w:rsidR="003F1009" w:rsidRPr="00090F87">
        <w:tab/>
      </w:r>
      <w:r w:rsidR="009D1906" w:rsidRPr="00090F87">
        <w:t>(Date)</w:t>
      </w:r>
      <w:bookmarkEnd w:id="36"/>
    </w:p>
    <w:p w14:paraId="6FDACC4A" w14:textId="472E309B" w:rsidR="009D1906" w:rsidRPr="00090F87" w:rsidRDefault="009D1906" w:rsidP="009D1906">
      <w:bookmarkStart w:id="37" w:name="_Toc338848616"/>
      <w:r w:rsidRPr="00090F87">
        <w:t>Secretary, Department of Social and Health Services</w:t>
      </w:r>
      <w:bookmarkEnd w:id="37"/>
    </w:p>
    <w:p w14:paraId="37DC18F0" w14:textId="77777777" w:rsidR="009D1906" w:rsidRPr="00090F87" w:rsidRDefault="009D1906" w:rsidP="009D1906"/>
    <w:p w14:paraId="11B571F4" w14:textId="77777777" w:rsidR="009D1906" w:rsidRPr="00090F87" w:rsidRDefault="009D1906" w:rsidP="009D1906">
      <w:pPr>
        <w:rPr>
          <w:u w:val="single"/>
        </w:rPr>
      </w:pPr>
    </w:p>
    <w:p w14:paraId="78E14B0B" w14:textId="77777777" w:rsidR="009D1906" w:rsidRPr="00090F87" w:rsidRDefault="009D1906" w:rsidP="009D1906">
      <w:pPr>
        <w:rPr>
          <w:u w:val="single"/>
        </w:rPr>
      </w:pPr>
    </w:p>
    <w:p w14:paraId="7608E80B" w14:textId="77777777" w:rsidR="009D1906" w:rsidRPr="00090F87" w:rsidRDefault="009D1906" w:rsidP="009D1906">
      <w:pPr>
        <w:rPr>
          <w:u w:val="single"/>
        </w:rPr>
      </w:pPr>
      <w:r w:rsidRPr="00090F87">
        <w:rPr>
          <w:b/>
          <w:u w:val="single"/>
        </w:rPr>
        <w:t>___________________________</w:t>
      </w:r>
      <w:r w:rsidRPr="00090F87">
        <w:tab/>
      </w:r>
      <w:r w:rsidRPr="00090F87">
        <w:tab/>
      </w:r>
      <w:r w:rsidRPr="00090F87">
        <w:tab/>
      </w:r>
      <w:r w:rsidRPr="00090F87">
        <w:tab/>
      </w:r>
      <w:r w:rsidRPr="00090F87">
        <w:rPr>
          <w:b/>
          <w:u w:val="single"/>
        </w:rPr>
        <w:t>_________________________</w:t>
      </w:r>
    </w:p>
    <w:p w14:paraId="4EBAE25C" w14:textId="71BFBFBA" w:rsidR="009D1906" w:rsidRPr="00090F87" w:rsidRDefault="00E15A17" w:rsidP="009D1906">
      <w:bookmarkStart w:id="38" w:name="_Toc338848617"/>
      <w:r>
        <w:t>Susan E. Birch, MBA, BSN, RN</w:t>
      </w:r>
      <w:r w:rsidR="009D1906" w:rsidRPr="00090F87">
        <w:tab/>
      </w:r>
      <w:r w:rsidR="009D1906" w:rsidRPr="00090F87">
        <w:tab/>
      </w:r>
      <w:r w:rsidR="009D1906" w:rsidRPr="00090F87">
        <w:tab/>
      </w:r>
      <w:r w:rsidR="009D1906" w:rsidRPr="00090F87">
        <w:tab/>
        <w:t>(Date)</w:t>
      </w:r>
      <w:bookmarkEnd w:id="38"/>
    </w:p>
    <w:p w14:paraId="171DF546" w14:textId="77777777" w:rsidR="00E15A17" w:rsidRDefault="00E15A17" w:rsidP="004D2D73">
      <w:bookmarkStart w:id="39" w:name="_Toc338848618"/>
      <w:r>
        <w:t xml:space="preserve">Director and Acting </w:t>
      </w:r>
      <w:r w:rsidR="009D1906" w:rsidRPr="00090F87">
        <w:t>Medicaid Director</w:t>
      </w:r>
    </w:p>
    <w:p w14:paraId="728AC0B4" w14:textId="3843ABAE" w:rsidR="00951BD5" w:rsidRPr="004D6E4E" w:rsidRDefault="009D1906" w:rsidP="004D2D73">
      <w:pPr>
        <w:rPr>
          <w:b/>
          <w:bCs/>
          <w:i/>
          <w:iCs/>
          <w:color w:val="000000"/>
        </w:rPr>
      </w:pPr>
      <w:r w:rsidRPr="00090F87">
        <w:t>Health Care Authority</w:t>
      </w:r>
      <w:bookmarkEnd w:id="39"/>
    </w:p>
    <w:p w14:paraId="500FBF10" w14:textId="77777777" w:rsidR="0031136C" w:rsidRDefault="0031136C">
      <w:pPr>
        <w:widowControl/>
      </w:pPr>
      <w:r>
        <w:br w:type="page"/>
      </w:r>
    </w:p>
    <w:p w14:paraId="0721A474" w14:textId="77777777" w:rsidR="00B13343" w:rsidRPr="00B015F5" w:rsidRDefault="00B13343" w:rsidP="00BE7ABA">
      <w:pPr>
        <w:pStyle w:val="Heading1"/>
        <w:numPr>
          <w:ilvl w:val="0"/>
          <w:numId w:val="0"/>
        </w:numPr>
      </w:pPr>
      <w:bookmarkStart w:id="40" w:name="_Toc521327546"/>
      <w:r w:rsidRPr="00B015F5">
        <w:lastRenderedPageBreak/>
        <w:t>Appendix A – Calculation of Retrospective Performance Payment</w:t>
      </w:r>
      <w:bookmarkEnd w:id="40"/>
    </w:p>
    <w:p w14:paraId="30AEAF3D" w14:textId="783F259A" w:rsidR="0031136C" w:rsidRPr="005412E1" w:rsidRDefault="0031136C" w:rsidP="00B13343">
      <w:pPr>
        <w:pStyle w:val="Heading1"/>
        <w:numPr>
          <w:ilvl w:val="0"/>
          <w:numId w:val="0"/>
        </w:numPr>
        <w:spacing w:line="360" w:lineRule="auto"/>
        <w:rPr>
          <w:sz w:val="24"/>
          <w:szCs w:val="24"/>
        </w:rPr>
      </w:pPr>
      <w:bookmarkStart w:id="41" w:name="_Toc521327547"/>
      <w:r w:rsidRPr="00B015F5">
        <w:rPr>
          <w:b w:val="0"/>
          <w:sz w:val="24"/>
          <w:szCs w:val="24"/>
        </w:rPr>
        <w:t xml:space="preserve">In years one through three, the retrospective performance payment will be distributed based only on </w:t>
      </w:r>
      <w:r w:rsidR="003F1009">
        <w:rPr>
          <w:b w:val="0"/>
          <w:sz w:val="24"/>
          <w:szCs w:val="24"/>
        </w:rPr>
        <w:t xml:space="preserve">the </w:t>
      </w:r>
      <w:r w:rsidRPr="00B015F5">
        <w:rPr>
          <w:b w:val="0"/>
          <w:sz w:val="24"/>
          <w:szCs w:val="24"/>
        </w:rPr>
        <w:t>calculation for Region 1 (the original 37 counties). In years four</w:t>
      </w:r>
      <w:r w:rsidR="003A5859">
        <w:rPr>
          <w:b w:val="0"/>
          <w:sz w:val="24"/>
          <w:szCs w:val="24"/>
        </w:rPr>
        <w:t xml:space="preserve"> </w:t>
      </w:r>
      <w:r w:rsidR="000C5CF8">
        <w:rPr>
          <w:b w:val="0"/>
          <w:sz w:val="24"/>
          <w:szCs w:val="24"/>
        </w:rPr>
        <w:t>and five</w:t>
      </w:r>
      <w:r w:rsidRPr="00B015F5">
        <w:rPr>
          <w:b w:val="0"/>
          <w:sz w:val="24"/>
          <w:szCs w:val="24"/>
        </w:rPr>
        <w:t xml:space="preserve"> the retrospective performance payment will be distributed based on separate calculations for Region 1 (the original 37 counties) and Region 2 (King and Snohomish counties). The Demonstration </w:t>
      </w:r>
      <w:r w:rsidR="001C68CA">
        <w:rPr>
          <w:b w:val="0"/>
          <w:sz w:val="24"/>
          <w:szCs w:val="24"/>
        </w:rPr>
        <w:t>Y</w:t>
      </w:r>
      <w:r w:rsidRPr="00B015F5">
        <w:rPr>
          <w:b w:val="0"/>
          <w:sz w:val="24"/>
          <w:szCs w:val="24"/>
        </w:rPr>
        <w:t xml:space="preserve">ears 4 through </w:t>
      </w:r>
      <w:r w:rsidR="000C5CF8">
        <w:rPr>
          <w:b w:val="0"/>
          <w:sz w:val="24"/>
          <w:szCs w:val="24"/>
        </w:rPr>
        <w:t>5</w:t>
      </w:r>
      <w:r w:rsidR="005900AB" w:rsidRPr="00B015F5">
        <w:rPr>
          <w:b w:val="0"/>
          <w:sz w:val="24"/>
          <w:szCs w:val="24"/>
        </w:rPr>
        <w:t xml:space="preserve"> </w:t>
      </w:r>
      <w:r w:rsidRPr="00B015F5">
        <w:rPr>
          <w:b w:val="0"/>
          <w:sz w:val="24"/>
          <w:szCs w:val="24"/>
        </w:rPr>
        <w:t>total retrospective performance payment will be allocated separately for Region 1 and Region 2</w:t>
      </w:r>
      <w:r w:rsidR="001C76DB" w:rsidRPr="00B015F5">
        <w:rPr>
          <w:b w:val="0"/>
          <w:sz w:val="24"/>
          <w:szCs w:val="24"/>
        </w:rPr>
        <w:t xml:space="preserve">. </w:t>
      </w:r>
      <w:r w:rsidRPr="00B015F5">
        <w:rPr>
          <w:b w:val="0"/>
          <w:sz w:val="24"/>
          <w:szCs w:val="24"/>
        </w:rPr>
        <w:t>After the total available retrospective performance</w:t>
      </w:r>
      <w:r w:rsidRPr="005412E1">
        <w:rPr>
          <w:b w:val="0"/>
          <w:sz w:val="24"/>
          <w:szCs w:val="24"/>
        </w:rPr>
        <w:t xml:space="preserve"> payment amount is calculated on a statewide basis, the portion of this total retrospective performance payment associated with Region 1 and Region 2 will be allocated based on the percentage of member months for individuals eligible for alignment with the demonstration in Region 1 versus Region 2 in each Demonstration </w:t>
      </w:r>
      <w:r w:rsidR="001C68CA">
        <w:rPr>
          <w:b w:val="0"/>
          <w:sz w:val="24"/>
          <w:szCs w:val="24"/>
        </w:rPr>
        <w:t>Y</w:t>
      </w:r>
      <w:r w:rsidRPr="005412E1">
        <w:rPr>
          <w:b w:val="0"/>
          <w:sz w:val="24"/>
          <w:szCs w:val="24"/>
        </w:rPr>
        <w:t>ear, to generate the Region 1 total retrospective performance payment and the Region 2 total retrospective performance payment.</w:t>
      </w:r>
      <w:bookmarkEnd w:id="41"/>
      <w:r w:rsidR="005900AB">
        <w:rPr>
          <w:b w:val="0"/>
          <w:sz w:val="24"/>
          <w:szCs w:val="24"/>
        </w:rPr>
        <w:t xml:space="preserve"> </w:t>
      </w:r>
      <w:r w:rsidR="005900AB" w:rsidRPr="003A5859">
        <w:rPr>
          <w:b w:val="0"/>
          <w:sz w:val="24"/>
          <w:szCs w:val="24"/>
        </w:rPr>
        <w:t xml:space="preserve">As of Demonstration Year </w:t>
      </w:r>
      <w:r w:rsidR="000C5CF8">
        <w:rPr>
          <w:b w:val="0"/>
          <w:sz w:val="24"/>
          <w:szCs w:val="24"/>
        </w:rPr>
        <w:t>6</w:t>
      </w:r>
      <w:r w:rsidR="005900AB" w:rsidRPr="003A5859">
        <w:rPr>
          <w:b w:val="0"/>
          <w:sz w:val="24"/>
          <w:szCs w:val="24"/>
        </w:rPr>
        <w:t>,</w:t>
      </w:r>
      <w:r w:rsidR="005900AB">
        <w:rPr>
          <w:b w:val="0"/>
          <w:sz w:val="24"/>
          <w:szCs w:val="24"/>
        </w:rPr>
        <w:t xml:space="preserve"> </w:t>
      </w:r>
      <w:r w:rsidR="003A5859">
        <w:rPr>
          <w:b w:val="0"/>
          <w:sz w:val="24"/>
          <w:szCs w:val="24"/>
        </w:rPr>
        <w:t>reporting for Region 1 and Region 2 will be combined and the retrospective performance will be distributed based on performance statewide, without separate calculations for Region 1 and Region 2.</w:t>
      </w:r>
    </w:p>
    <w:p w14:paraId="38857A5F" w14:textId="0BFB9E85" w:rsidR="0031136C" w:rsidRPr="005C0817" w:rsidRDefault="0031136C" w:rsidP="00B13343">
      <w:pPr>
        <w:pStyle w:val="ListParagraph"/>
        <w:numPr>
          <w:ilvl w:val="0"/>
          <w:numId w:val="49"/>
        </w:numPr>
        <w:rPr>
          <w:b/>
        </w:rPr>
      </w:pPr>
      <w:r w:rsidRPr="005C0817">
        <w:rPr>
          <w:b/>
        </w:rPr>
        <w:t>Region 1</w:t>
      </w:r>
      <w:r w:rsidR="003A5859">
        <w:rPr>
          <w:b/>
        </w:rPr>
        <w:t xml:space="preserve"> – Demonstration Years 1 through </w:t>
      </w:r>
      <w:r w:rsidR="000C5CF8">
        <w:rPr>
          <w:b/>
        </w:rPr>
        <w:t>5</w:t>
      </w:r>
    </w:p>
    <w:p w14:paraId="73B465BA" w14:textId="280D1C77" w:rsidR="0031136C" w:rsidRPr="00B015F5" w:rsidRDefault="0031136C" w:rsidP="00B13343">
      <w:pPr>
        <w:pStyle w:val="ListParagraph"/>
        <w:numPr>
          <w:ilvl w:val="1"/>
          <w:numId w:val="53"/>
        </w:numPr>
      </w:pPr>
      <w:r>
        <w:t xml:space="preserve">Demonstration Year 1: </w:t>
      </w:r>
      <w:r>
        <w:rPr>
          <w:bCs/>
        </w:rPr>
        <w:t xml:space="preserve">In </w:t>
      </w:r>
      <w:r w:rsidRPr="00B015F5">
        <w:rPr>
          <w:bCs/>
        </w:rPr>
        <w:t>year one, payment is based on the percentage of measures for which the State has completely and accurately reported data</w:t>
      </w:r>
      <w:r w:rsidR="001C76DB" w:rsidRPr="00B015F5">
        <w:rPr>
          <w:bCs/>
        </w:rPr>
        <w:t xml:space="preserve">. </w:t>
      </w:r>
      <w:r w:rsidRPr="00B015F5">
        <w:rPr>
          <w:bCs/>
        </w:rPr>
        <w:t xml:space="preserve">The State would qualify for the full retrospective performance payment </w:t>
      </w:r>
      <w:r w:rsidR="00416456">
        <w:rPr>
          <w:bCs/>
        </w:rPr>
        <w:t xml:space="preserve">for </w:t>
      </w:r>
      <w:r w:rsidR="00D253D3" w:rsidRPr="00B015F5">
        <w:rPr>
          <w:bCs/>
        </w:rPr>
        <w:t xml:space="preserve">Demonstration </w:t>
      </w:r>
      <w:r w:rsidR="001C68CA">
        <w:rPr>
          <w:bCs/>
        </w:rPr>
        <w:t>Y</w:t>
      </w:r>
      <w:r w:rsidR="00D253D3" w:rsidRPr="00B015F5">
        <w:rPr>
          <w:bCs/>
        </w:rPr>
        <w:t xml:space="preserve">ear 1 </w:t>
      </w:r>
      <w:r w:rsidRPr="00B015F5">
        <w:rPr>
          <w:bCs/>
        </w:rPr>
        <w:t xml:space="preserve">based on complete and accurate reporting of all measures included in that </w:t>
      </w:r>
      <w:r w:rsidR="001C68CA">
        <w:rPr>
          <w:bCs/>
        </w:rPr>
        <w:t>D</w:t>
      </w:r>
      <w:r w:rsidRPr="00B015F5">
        <w:rPr>
          <w:bCs/>
        </w:rPr>
        <w:t xml:space="preserve">emonstration </w:t>
      </w:r>
      <w:r w:rsidR="001C68CA">
        <w:rPr>
          <w:bCs/>
        </w:rPr>
        <w:t>Y</w:t>
      </w:r>
      <w:r w:rsidRPr="00B015F5">
        <w:rPr>
          <w:bCs/>
        </w:rPr>
        <w:t>ear</w:t>
      </w:r>
      <w:r w:rsidR="001C76DB" w:rsidRPr="00B015F5">
        <w:rPr>
          <w:bCs/>
        </w:rPr>
        <w:t xml:space="preserve">. </w:t>
      </w:r>
    </w:p>
    <w:p w14:paraId="6AAF7AE4" w14:textId="77777777" w:rsidR="0031136C" w:rsidRPr="00B015F5" w:rsidRDefault="0031136C" w:rsidP="0062370B">
      <w:pPr>
        <w:pStyle w:val="ListParagraph"/>
        <w:numPr>
          <w:ilvl w:val="2"/>
          <w:numId w:val="53"/>
        </w:numPr>
      </w:pPr>
      <w:r w:rsidRPr="00B015F5">
        <w:rPr>
          <w:bCs/>
        </w:rPr>
        <w:t>Specifically, the State will qualify for the full retrospective performance payment if the following 10 measures are completely and accurately reported: A.1, A.2, A.3, A.4, B.1, B.2, B.3, C.1, C.2, and C.3</w:t>
      </w:r>
      <w:r w:rsidR="00D253D3" w:rsidRPr="00B015F5">
        <w:rPr>
          <w:bCs/>
        </w:rPr>
        <w:t>, as listed in Table 1</w:t>
      </w:r>
      <w:r w:rsidRPr="00B015F5">
        <w:rPr>
          <w:bCs/>
        </w:rPr>
        <w:t>.</w:t>
      </w:r>
    </w:p>
    <w:p w14:paraId="690A7370" w14:textId="77777777" w:rsidR="0031136C" w:rsidRPr="00B015F5" w:rsidRDefault="0031136C" w:rsidP="0062370B">
      <w:pPr>
        <w:pStyle w:val="ListParagraph"/>
        <w:numPr>
          <w:ilvl w:val="1"/>
          <w:numId w:val="53"/>
        </w:numPr>
      </w:pPr>
      <w:r w:rsidRPr="00B015F5">
        <w:rPr>
          <w:bCs/>
        </w:rPr>
        <w:t>Demonstration Year 2: In year two, the retrospective performance payment will be distributed in three components.</w:t>
      </w:r>
    </w:p>
    <w:p w14:paraId="50FB7E22" w14:textId="6B90B79E" w:rsidR="0031136C" w:rsidRPr="00B015F5" w:rsidRDefault="0031136C" w:rsidP="0062370B">
      <w:pPr>
        <w:pStyle w:val="ListParagraph"/>
        <w:numPr>
          <w:ilvl w:val="2"/>
          <w:numId w:val="53"/>
        </w:numPr>
      </w:pPr>
      <w:r w:rsidRPr="00B015F5">
        <w:rPr>
          <w:bCs/>
          <w:szCs w:val="24"/>
        </w:rPr>
        <w:lastRenderedPageBreak/>
        <w:t xml:space="preserve">The first component (30% of the retrospective performance payment) will be distributed once </w:t>
      </w:r>
      <w:r w:rsidR="00D253D3" w:rsidRPr="00B015F5">
        <w:rPr>
          <w:bCs/>
          <w:szCs w:val="24"/>
        </w:rPr>
        <w:t>CMS determines</w:t>
      </w:r>
      <w:r w:rsidR="00555770">
        <w:rPr>
          <w:bCs/>
          <w:szCs w:val="24"/>
        </w:rPr>
        <w:t xml:space="preserve"> </w:t>
      </w:r>
      <w:r w:rsidRPr="00B015F5">
        <w:rPr>
          <w:bCs/>
          <w:szCs w:val="24"/>
        </w:rPr>
        <w:t>the State has</w:t>
      </w:r>
      <w:r w:rsidRPr="007B5F06">
        <w:rPr>
          <w:bCs/>
          <w:szCs w:val="24"/>
        </w:rPr>
        <w:t xml:space="preserve"> completely and accurately reported all measures included in Demonstration </w:t>
      </w:r>
      <w:r w:rsidR="001C68CA">
        <w:rPr>
          <w:bCs/>
          <w:szCs w:val="24"/>
        </w:rPr>
        <w:t>Y</w:t>
      </w:r>
      <w:r w:rsidRPr="007B5F06">
        <w:rPr>
          <w:bCs/>
          <w:szCs w:val="24"/>
        </w:rPr>
        <w:t xml:space="preserve">ear 2. Specifically, the State will qualify for the </w:t>
      </w:r>
      <w:r w:rsidRPr="00B015F5">
        <w:rPr>
          <w:bCs/>
          <w:szCs w:val="24"/>
        </w:rPr>
        <w:t>first component (30% of the retrospective performance payment) if the following 10 measures are completely and accurately reported: A.1, A.2, A.3, A.4, B.1, B.2, B.3, C.1, C.2, and C.3</w:t>
      </w:r>
      <w:r w:rsidR="00D253D3" w:rsidRPr="00B015F5">
        <w:rPr>
          <w:bCs/>
          <w:szCs w:val="24"/>
        </w:rPr>
        <w:t>, as listed in Table 1</w:t>
      </w:r>
      <w:r w:rsidRPr="00B015F5">
        <w:rPr>
          <w:bCs/>
          <w:szCs w:val="24"/>
        </w:rPr>
        <w:t>.</w:t>
      </w:r>
    </w:p>
    <w:p w14:paraId="5B22AE26" w14:textId="0323E162" w:rsidR="0031136C" w:rsidRPr="00B015F5" w:rsidRDefault="0031136C" w:rsidP="0062370B">
      <w:pPr>
        <w:pStyle w:val="ListParagraph"/>
        <w:numPr>
          <w:ilvl w:val="2"/>
          <w:numId w:val="53"/>
        </w:numPr>
      </w:pPr>
      <w:r w:rsidRPr="00B015F5">
        <w:rPr>
          <w:bCs/>
          <w:szCs w:val="24"/>
        </w:rPr>
        <w:t xml:space="preserve">The second component (30% of the retrospective performance payment) will be distributed once </w:t>
      </w:r>
      <w:r w:rsidR="00D253D3" w:rsidRPr="00B015F5">
        <w:rPr>
          <w:bCs/>
          <w:szCs w:val="24"/>
        </w:rPr>
        <w:t xml:space="preserve">CMS determines </w:t>
      </w:r>
      <w:r w:rsidRPr="00B015F5">
        <w:rPr>
          <w:bCs/>
          <w:szCs w:val="24"/>
        </w:rPr>
        <w:t>the State has scored a “met” on at least 50% of the “</w:t>
      </w:r>
      <w:r w:rsidRPr="002A7FDE">
        <w:rPr>
          <w:bCs/>
          <w:szCs w:val="24"/>
        </w:rPr>
        <w:t>benchmark</w:t>
      </w:r>
      <w:r w:rsidR="00DB6A88" w:rsidRPr="002A7FDE">
        <w:rPr>
          <w:bCs/>
          <w:szCs w:val="24"/>
        </w:rPr>
        <w:t>/improvement</w:t>
      </w:r>
      <w:r w:rsidRPr="002A7FDE">
        <w:rPr>
          <w:bCs/>
          <w:szCs w:val="24"/>
        </w:rPr>
        <w:t>”</w:t>
      </w:r>
      <w:r w:rsidRPr="00B015F5">
        <w:rPr>
          <w:bCs/>
          <w:szCs w:val="24"/>
        </w:rPr>
        <w:t xml:space="preserve"> measures included in that </w:t>
      </w:r>
      <w:r w:rsidR="001C68CA">
        <w:rPr>
          <w:bCs/>
          <w:szCs w:val="24"/>
        </w:rPr>
        <w:t>D</w:t>
      </w:r>
      <w:r w:rsidRPr="00B015F5">
        <w:rPr>
          <w:bCs/>
          <w:szCs w:val="24"/>
        </w:rPr>
        <w:t xml:space="preserve">emonstration </w:t>
      </w:r>
      <w:r w:rsidR="001C68CA">
        <w:rPr>
          <w:bCs/>
          <w:szCs w:val="24"/>
        </w:rPr>
        <w:t>Y</w:t>
      </w:r>
      <w:r w:rsidRPr="00B015F5">
        <w:rPr>
          <w:bCs/>
          <w:szCs w:val="24"/>
        </w:rPr>
        <w:t>ear</w:t>
      </w:r>
      <w:r w:rsidR="001C76DB" w:rsidRPr="00B015F5">
        <w:rPr>
          <w:szCs w:val="24"/>
        </w:rPr>
        <w:t xml:space="preserve">. </w:t>
      </w:r>
      <w:r w:rsidRPr="00B015F5">
        <w:rPr>
          <w:szCs w:val="24"/>
        </w:rPr>
        <w:t xml:space="preserve">If the State does not “meet” at least 50% of these measures, no payment will be made for this </w:t>
      </w:r>
      <w:r w:rsidRPr="00B015F5">
        <w:rPr>
          <w:bCs/>
          <w:szCs w:val="24"/>
        </w:rPr>
        <w:t>component</w:t>
      </w:r>
      <w:r w:rsidRPr="00B015F5">
        <w:rPr>
          <w:szCs w:val="24"/>
        </w:rPr>
        <w:t xml:space="preserve">. Specifically, </w:t>
      </w:r>
      <w:r w:rsidRPr="00B015F5">
        <w:rPr>
          <w:bCs/>
        </w:rPr>
        <w:t>the State will qualify for the second component (30% of the retrospective performance payment) once it has been determined that the State has met the benchmark for at least 50% (4) of the following 8 measures: A.1, A.2, A.3, A.4, B.2, C.1, C.2, and C.3</w:t>
      </w:r>
      <w:r w:rsidR="00D253D3" w:rsidRPr="00B015F5">
        <w:rPr>
          <w:bCs/>
          <w:szCs w:val="24"/>
        </w:rPr>
        <w:t>, as listed in Table 1</w:t>
      </w:r>
      <w:r w:rsidRPr="00B015F5">
        <w:rPr>
          <w:bCs/>
        </w:rPr>
        <w:t>.</w:t>
      </w:r>
      <w:r w:rsidR="00FA0475">
        <w:rPr>
          <w:bCs/>
        </w:rPr>
        <w:t xml:space="preserve"> </w:t>
      </w:r>
    </w:p>
    <w:p w14:paraId="5C7FD2CD" w14:textId="59EEBA91" w:rsidR="0031136C" w:rsidRPr="00416456" w:rsidRDefault="0031136C" w:rsidP="0062370B">
      <w:pPr>
        <w:pStyle w:val="ListParagraph"/>
        <w:numPr>
          <w:ilvl w:val="2"/>
          <w:numId w:val="53"/>
        </w:numPr>
      </w:pPr>
      <w:r>
        <w:t xml:space="preserve">The third component (40% of the retrospective performance payment) is only available if the State has met the criteria for the first two components. The third component will be distributed based on the number of percentage points above 50% of measures for which the State has scored a “met,” multiplied by </w:t>
      </w:r>
      <w:r>
        <w:rPr>
          <w:bCs/>
        </w:rPr>
        <w:t>(4/</w:t>
      </w:r>
      <w:r>
        <w:t>3</w:t>
      </w:r>
      <w:r>
        <w:rPr>
          <w:bCs/>
        </w:rPr>
        <w:t>),</w:t>
      </w:r>
      <w:r>
        <w:t xml:space="preserve"> including all measures included in that </w:t>
      </w:r>
      <w:r w:rsidR="001C68CA">
        <w:t>D</w:t>
      </w:r>
      <w:r>
        <w:t xml:space="preserve">emonstration </w:t>
      </w:r>
      <w:r w:rsidR="001C68CA">
        <w:t>Y</w:t>
      </w:r>
      <w:r>
        <w:t xml:space="preserve">ear,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performance </w:t>
      </w:r>
      <w:r w:rsidRPr="00B015F5">
        <w:t xml:space="preserve">payment. Distribution of the third component is based on the number of measures for which the State has completely and accurately reported (applicable for </w:t>
      </w:r>
      <w:r w:rsidR="0062370B" w:rsidRPr="00B015F5">
        <w:t>2</w:t>
      </w:r>
      <w:r w:rsidRPr="00B015F5">
        <w:t xml:space="preserve"> measures: B.1 and B.3) and met the benchmark or improvement </w:t>
      </w:r>
      <w:r w:rsidRPr="00416456">
        <w:t xml:space="preserve">goal (applicable for </w:t>
      </w:r>
      <w:r w:rsidRPr="00416456">
        <w:lastRenderedPageBreak/>
        <w:t>8 measures: A.1, A.2, A.3, A.4, B.2, C.1, C.2, and C.3)</w:t>
      </w:r>
      <w:r w:rsidR="00DB6582" w:rsidRPr="00416456">
        <w:rPr>
          <w:bCs/>
          <w:szCs w:val="24"/>
        </w:rPr>
        <w:t>, as listed in Table 1</w:t>
      </w:r>
      <w:r w:rsidRPr="00416456">
        <w:t>.</w:t>
      </w:r>
      <w:r w:rsidR="00FA0475" w:rsidRPr="00416456">
        <w:t xml:space="preserve"> Measures that are not completely and accurately reported are scored as “</w:t>
      </w:r>
      <w:r w:rsidR="003172C3" w:rsidRPr="00416456">
        <w:t xml:space="preserve">not </w:t>
      </w:r>
      <w:r w:rsidR="00FA0475" w:rsidRPr="00416456">
        <w:t>met</w:t>
      </w:r>
      <w:r w:rsidR="001C76DB" w:rsidRPr="00416456">
        <w:t>.”</w:t>
      </w:r>
      <w:r w:rsidRPr="00416456">
        <w:t xml:space="preserve">  Among</w:t>
      </w:r>
      <w:r w:rsidRPr="00416456">
        <w:rPr>
          <w:strike/>
        </w:rPr>
        <w:t xml:space="preserve"> </w:t>
      </w:r>
      <w:r w:rsidRPr="00416456">
        <w:t>these total 1</w:t>
      </w:r>
      <w:r w:rsidR="0062370B" w:rsidRPr="00416456">
        <w:t>0</w:t>
      </w:r>
      <w:r w:rsidRPr="00416456">
        <w:t xml:space="preserve"> measures considered, the State qualifies for this component as follows:</w:t>
      </w:r>
    </w:p>
    <w:p w14:paraId="2EC6EB00" w14:textId="3354AB7D" w:rsidR="0031136C" w:rsidRPr="00B015F5" w:rsidRDefault="0031136C" w:rsidP="0062370B">
      <w:pPr>
        <w:pStyle w:val="ListParagraph"/>
        <w:numPr>
          <w:ilvl w:val="3"/>
          <w:numId w:val="53"/>
        </w:numPr>
      </w:pPr>
      <w:r w:rsidRPr="00416456">
        <w:t xml:space="preserve">Meets </w:t>
      </w:r>
      <w:r w:rsidR="0062370B" w:rsidRPr="00416456">
        <w:t>8</w:t>
      </w:r>
      <w:r w:rsidRPr="00416456">
        <w:rPr>
          <w:color w:val="000000"/>
        </w:rPr>
        <w:t xml:space="preserve"> or more measures – qualifies for the full 40% (100% of this</w:t>
      </w:r>
      <w:r w:rsidRPr="00B015F5">
        <w:rPr>
          <w:color w:val="000000"/>
        </w:rPr>
        <w:t xml:space="preserve"> component).</w:t>
      </w:r>
    </w:p>
    <w:p w14:paraId="20322164" w14:textId="06BAD737" w:rsidR="0031136C" w:rsidRPr="007B5F06" w:rsidRDefault="0031136C" w:rsidP="0062370B">
      <w:pPr>
        <w:pStyle w:val="ListParagraph"/>
        <w:numPr>
          <w:ilvl w:val="3"/>
          <w:numId w:val="53"/>
        </w:numPr>
      </w:pPr>
      <w:r w:rsidRPr="00B015F5">
        <w:t>Mee</w:t>
      </w:r>
      <w:r w:rsidRPr="00B015F5">
        <w:rPr>
          <w:color w:val="000000"/>
        </w:rPr>
        <w:t xml:space="preserve">ts </w:t>
      </w:r>
      <w:r w:rsidR="0062370B" w:rsidRPr="00B015F5">
        <w:rPr>
          <w:color w:val="000000"/>
        </w:rPr>
        <w:t>7</w:t>
      </w:r>
      <w:r w:rsidRPr="00B015F5">
        <w:rPr>
          <w:color w:val="000000"/>
        </w:rPr>
        <w:t xml:space="preserve"> measures – qualifies for</w:t>
      </w:r>
      <w:r w:rsidRPr="0062370B">
        <w:rPr>
          <w:color w:val="000000"/>
        </w:rPr>
        <w:t xml:space="preserve"> </w:t>
      </w:r>
      <w:r w:rsidR="0062370B">
        <w:rPr>
          <w:color w:val="000000"/>
        </w:rPr>
        <w:t>27</w:t>
      </w:r>
      <w:r w:rsidRPr="0062370B">
        <w:rPr>
          <w:color w:val="000000"/>
        </w:rPr>
        <w:t>% (</w:t>
      </w:r>
      <w:r w:rsidR="0062370B">
        <w:rPr>
          <w:color w:val="000000"/>
        </w:rPr>
        <w:t>67</w:t>
      </w:r>
      <w:r w:rsidRPr="0062370B">
        <w:rPr>
          <w:color w:val="000000"/>
        </w:rPr>
        <w:t>% of this component).</w:t>
      </w:r>
    </w:p>
    <w:p w14:paraId="3E37AA42" w14:textId="37AD1D49" w:rsidR="0031136C" w:rsidRPr="0062370B" w:rsidRDefault="0031136C" w:rsidP="0062370B">
      <w:pPr>
        <w:pStyle w:val="ListParagraph"/>
        <w:numPr>
          <w:ilvl w:val="3"/>
          <w:numId w:val="53"/>
        </w:numPr>
      </w:pPr>
      <w:r>
        <w:rPr>
          <w:color w:val="000000"/>
        </w:rPr>
        <w:t xml:space="preserve">Meets </w:t>
      </w:r>
      <w:r w:rsidR="0062370B">
        <w:rPr>
          <w:color w:val="000000"/>
        </w:rPr>
        <w:t>6</w:t>
      </w:r>
      <w:r>
        <w:rPr>
          <w:color w:val="000000"/>
        </w:rPr>
        <w:t xml:space="preserve"> measures – qualifies for </w:t>
      </w:r>
      <w:r w:rsidR="0062370B">
        <w:rPr>
          <w:color w:val="000000"/>
        </w:rPr>
        <w:t>13</w:t>
      </w:r>
      <w:r>
        <w:rPr>
          <w:color w:val="000000"/>
        </w:rPr>
        <w:t>% (</w:t>
      </w:r>
      <w:r w:rsidR="0062370B">
        <w:rPr>
          <w:color w:val="000000"/>
        </w:rPr>
        <w:t>33</w:t>
      </w:r>
      <w:r>
        <w:rPr>
          <w:color w:val="000000"/>
        </w:rPr>
        <w:t>% of this component).</w:t>
      </w:r>
    </w:p>
    <w:p w14:paraId="18774056" w14:textId="77777777" w:rsidR="0031136C" w:rsidRPr="0062370B" w:rsidRDefault="0031136C" w:rsidP="0062370B">
      <w:pPr>
        <w:pStyle w:val="ListParagraph"/>
        <w:numPr>
          <w:ilvl w:val="3"/>
          <w:numId w:val="53"/>
        </w:numPr>
      </w:pPr>
      <w:r>
        <w:rPr>
          <w:color w:val="000000"/>
        </w:rPr>
        <w:t>Meets 5 or fewer measures – qualifies for 0% of this component.</w:t>
      </w:r>
    </w:p>
    <w:p w14:paraId="41B58A34" w14:textId="3DA13889" w:rsidR="0031136C" w:rsidRPr="007B5F06" w:rsidRDefault="0031136C" w:rsidP="0062370B">
      <w:pPr>
        <w:pStyle w:val="ListParagraph"/>
        <w:numPr>
          <w:ilvl w:val="1"/>
          <w:numId w:val="53"/>
        </w:numPr>
      </w:pPr>
      <w:r w:rsidRPr="007B5F06">
        <w:rPr>
          <w:bCs/>
        </w:rPr>
        <w:t>Demonstration Year 3: In year three the retrospective performance payment will be distributed in two components</w:t>
      </w:r>
      <w:r w:rsidR="00D57671">
        <w:rPr>
          <w:bCs/>
        </w:rPr>
        <w:t>.</w:t>
      </w:r>
    </w:p>
    <w:p w14:paraId="6C83BEC9" w14:textId="3A70275E" w:rsidR="0031136C" w:rsidRPr="00B015F5" w:rsidRDefault="0031136C" w:rsidP="0062370B">
      <w:pPr>
        <w:pStyle w:val="ListParagraph"/>
        <w:numPr>
          <w:ilvl w:val="2"/>
          <w:numId w:val="53"/>
        </w:numPr>
      </w:pPr>
      <w:r>
        <w:rPr>
          <w:bCs/>
        </w:rPr>
        <w:t xml:space="preserve">The first component (60% of the retrospective performance payment) will be </w:t>
      </w:r>
      <w:r w:rsidRPr="00B015F5">
        <w:rPr>
          <w:bCs/>
        </w:rPr>
        <w:t>distributed once</w:t>
      </w:r>
      <w:r w:rsidR="00F17A5E" w:rsidRPr="00B015F5">
        <w:rPr>
          <w:bCs/>
        </w:rPr>
        <w:t xml:space="preserve"> CMS determines</w:t>
      </w:r>
      <w:r w:rsidRPr="00B015F5">
        <w:rPr>
          <w:bCs/>
        </w:rPr>
        <w:t xml:space="preserve"> that the State has scored a “met” on at least 50% of the “benchmark/improvement” measures included in that </w:t>
      </w:r>
      <w:r w:rsidR="001C68CA">
        <w:rPr>
          <w:bCs/>
        </w:rPr>
        <w:t>D</w:t>
      </w:r>
      <w:r w:rsidRPr="00B015F5">
        <w:rPr>
          <w:bCs/>
        </w:rPr>
        <w:t>emonstr</w:t>
      </w:r>
      <w:r w:rsidR="001C68CA">
        <w:rPr>
          <w:bCs/>
        </w:rPr>
        <w:t>ation Y</w:t>
      </w:r>
      <w:r w:rsidRPr="00B015F5">
        <w:rPr>
          <w:bCs/>
        </w:rPr>
        <w:t>ear</w:t>
      </w:r>
      <w:r w:rsidR="001C76DB" w:rsidRPr="00B015F5">
        <w:t xml:space="preserve">. </w:t>
      </w:r>
      <w:r w:rsidRPr="00B015F5">
        <w:t>If the State does not “meet” at least 50% of these measures, no payment will be made for</w:t>
      </w:r>
      <w:r>
        <w:t xml:space="preserve"> this </w:t>
      </w:r>
      <w:r>
        <w:rPr>
          <w:bCs/>
        </w:rPr>
        <w:t xml:space="preserve">component. Specifically, the State will qualify for the first component </w:t>
      </w:r>
      <w:r w:rsidRPr="00B015F5">
        <w:rPr>
          <w:bCs/>
        </w:rPr>
        <w:t>(60% of the retrospective performance payment) once</w:t>
      </w:r>
      <w:r w:rsidR="00D253D3" w:rsidRPr="00B015F5">
        <w:rPr>
          <w:bCs/>
        </w:rPr>
        <w:t xml:space="preserve"> CMS determines</w:t>
      </w:r>
      <w:r w:rsidRPr="00B015F5">
        <w:rPr>
          <w:bCs/>
        </w:rPr>
        <w:t xml:space="preserve"> that the State has met the benchmark or improvement goal for at least 50% (5) of the following 10 measures: A.1, A.2, A.3, A.4, B.1, B.2, B.3, C.1, C.2</w:t>
      </w:r>
      <w:r w:rsidR="00D57671">
        <w:rPr>
          <w:bCs/>
        </w:rPr>
        <w:t>,</w:t>
      </w:r>
      <w:r w:rsidRPr="00B015F5">
        <w:rPr>
          <w:bCs/>
        </w:rPr>
        <w:t xml:space="preserve"> and C.3</w:t>
      </w:r>
      <w:r w:rsidR="00DB6582" w:rsidRPr="00B015F5">
        <w:rPr>
          <w:bCs/>
          <w:szCs w:val="24"/>
        </w:rPr>
        <w:t>, as listed in Table 1</w:t>
      </w:r>
      <w:r w:rsidRPr="00B015F5">
        <w:rPr>
          <w:bCs/>
        </w:rPr>
        <w:t>.</w:t>
      </w:r>
    </w:p>
    <w:p w14:paraId="153B1351" w14:textId="1143390F" w:rsidR="0031136C" w:rsidRPr="00B015F5" w:rsidRDefault="0031136C" w:rsidP="0062370B">
      <w:pPr>
        <w:pStyle w:val="ListParagraph"/>
        <w:numPr>
          <w:ilvl w:val="2"/>
          <w:numId w:val="53"/>
        </w:numPr>
      </w:pPr>
      <w:r w:rsidRPr="00B015F5">
        <w:t>The second component (40% of the retrospective performance payment) is only available if the State has met the criteria for the first component. The second component will be distributed based on the number of percentage points above 50% of measures for which the State has scored</w:t>
      </w:r>
      <w:r>
        <w:t xml:space="preserve"> a “met,” multiplied by </w:t>
      </w:r>
      <w:r>
        <w:rPr>
          <w:bCs/>
        </w:rPr>
        <w:t>(4/</w:t>
      </w:r>
      <w:r>
        <w:t>3</w:t>
      </w:r>
      <w:r>
        <w:rPr>
          <w:bCs/>
        </w:rPr>
        <w:t>),</w:t>
      </w:r>
      <w:r>
        <w:t xml:space="preserve"> including all measures included in that </w:t>
      </w:r>
      <w:r w:rsidR="001C68CA">
        <w:t xml:space="preserve">Demonstration </w:t>
      </w:r>
      <w:r w:rsidR="001C68CA">
        <w:lastRenderedPageBreak/>
        <w:t>Y</w:t>
      </w:r>
      <w:r>
        <w:t>ear, with each measure weighted equally. (For example, if the State meet</w:t>
      </w:r>
      <w:r w:rsidR="00D57671">
        <w:t>s</w:t>
      </w:r>
      <w:r>
        <w:t xml:space="preserve"> 60% of measures, it will qualify for one-third of this component. If the State meets 70% of measures, it will qualify for two-thirds of this component.) Meeting 80% or more of all measures would qualify the State for the maximum performance payment. </w:t>
      </w:r>
      <w:r>
        <w:rPr>
          <w:color w:val="000000"/>
        </w:rPr>
        <w:t>Distribution of the second component is based on the number of measures for which the State has completely and accu</w:t>
      </w:r>
      <w:r w:rsidRPr="00416456">
        <w:rPr>
          <w:color w:val="000000"/>
        </w:rPr>
        <w:t xml:space="preserve">rately reported (applicable for </w:t>
      </w:r>
      <w:r w:rsidR="0062370B" w:rsidRPr="00416456">
        <w:rPr>
          <w:color w:val="000000"/>
        </w:rPr>
        <w:t>2</w:t>
      </w:r>
      <w:r w:rsidRPr="00416456">
        <w:rPr>
          <w:color w:val="000000"/>
        </w:rPr>
        <w:t xml:space="preserve"> measures: A.7 and A.8) and met the benchmark or improvement goal (applicable for 10 measures: A.1, A.2, A.3, A.4, B.1, B.2, B.3, C.1, C.2, and C.3)</w:t>
      </w:r>
      <w:r w:rsidR="00DB6582" w:rsidRPr="00416456">
        <w:rPr>
          <w:bCs/>
          <w:szCs w:val="24"/>
        </w:rPr>
        <w:t>, as listed in Table 1</w:t>
      </w:r>
      <w:r w:rsidRPr="00416456">
        <w:rPr>
          <w:color w:val="000000"/>
        </w:rPr>
        <w:t xml:space="preserve">. </w:t>
      </w:r>
      <w:r w:rsidR="00FA0475" w:rsidRPr="00416456">
        <w:t>Measures that are not completely and accurately reported scored as “</w:t>
      </w:r>
      <w:r w:rsidR="003172C3" w:rsidRPr="00416456">
        <w:t xml:space="preserve">not </w:t>
      </w:r>
      <w:r w:rsidR="00FA0475" w:rsidRPr="00416456">
        <w:t>met</w:t>
      </w:r>
      <w:r w:rsidR="0020142D" w:rsidRPr="00416456">
        <w:t>.”</w:t>
      </w:r>
      <w:r w:rsidR="00FA0475" w:rsidRPr="00416456">
        <w:rPr>
          <w:i/>
        </w:rPr>
        <w:t xml:space="preserve"> </w:t>
      </w:r>
      <w:r w:rsidR="00DB4DB2" w:rsidRPr="00416456">
        <w:rPr>
          <w:color w:val="000000"/>
        </w:rPr>
        <w:t>A</w:t>
      </w:r>
      <w:r w:rsidRPr="00416456">
        <w:rPr>
          <w:color w:val="000000"/>
        </w:rPr>
        <w:t xml:space="preserve">mong these total </w:t>
      </w:r>
      <w:r w:rsidR="0062370B" w:rsidRPr="00416456">
        <w:rPr>
          <w:color w:val="000000"/>
        </w:rPr>
        <w:t>12</w:t>
      </w:r>
      <w:r w:rsidRPr="00416456">
        <w:rPr>
          <w:color w:val="000000"/>
        </w:rPr>
        <w:t xml:space="preserve"> measures considered, the State qualifie</w:t>
      </w:r>
      <w:r w:rsidR="00D57671">
        <w:rPr>
          <w:color w:val="000000"/>
        </w:rPr>
        <w:t>s for this component as follows</w:t>
      </w:r>
      <w:r w:rsidR="002B394F">
        <w:rPr>
          <w:color w:val="000000"/>
        </w:rPr>
        <w:t>:</w:t>
      </w:r>
    </w:p>
    <w:p w14:paraId="1660CC4A" w14:textId="4E8B9BE0" w:rsidR="0031136C" w:rsidRPr="0062370B" w:rsidRDefault="0031136C" w:rsidP="0062370B">
      <w:pPr>
        <w:pStyle w:val="ListParagraph"/>
        <w:numPr>
          <w:ilvl w:val="3"/>
          <w:numId w:val="53"/>
        </w:numPr>
      </w:pPr>
      <w:r w:rsidRPr="00B015F5">
        <w:rPr>
          <w:color w:val="000000"/>
        </w:rPr>
        <w:t xml:space="preserve">Meets </w:t>
      </w:r>
      <w:r w:rsidR="0062370B" w:rsidRPr="00B015F5">
        <w:rPr>
          <w:color w:val="000000"/>
        </w:rPr>
        <w:t>10</w:t>
      </w:r>
      <w:r w:rsidRPr="00B015F5">
        <w:rPr>
          <w:color w:val="000000"/>
        </w:rPr>
        <w:t xml:space="preserve"> or more measures – qualifies for the full</w:t>
      </w:r>
      <w:r>
        <w:rPr>
          <w:color w:val="000000"/>
        </w:rPr>
        <w:t xml:space="preserve"> 40% (100% of this component).</w:t>
      </w:r>
    </w:p>
    <w:p w14:paraId="3B259D41" w14:textId="2540B3FC" w:rsidR="0031136C" w:rsidRPr="0062370B" w:rsidRDefault="0031136C" w:rsidP="0062370B">
      <w:pPr>
        <w:pStyle w:val="ListParagraph"/>
        <w:numPr>
          <w:ilvl w:val="3"/>
          <w:numId w:val="53"/>
        </w:numPr>
      </w:pPr>
      <w:r>
        <w:rPr>
          <w:color w:val="000000"/>
        </w:rPr>
        <w:t xml:space="preserve">Meets 9 measures – qualifies for </w:t>
      </w:r>
      <w:r w:rsidR="0062370B">
        <w:rPr>
          <w:color w:val="000000"/>
        </w:rPr>
        <w:t>33</w:t>
      </w:r>
      <w:r>
        <w:rPr>
          <w:color w:val="000000"/>
        </w:rPr>
        <w:t>%</w:t>
      </w:r>
      <w:r w:rsidR="0062370B">
        <w:rPr>
          <w:color w:val="000000"/>
        </w:rPr>
        <w:t xml:space="preserve"> (83</w:t>
      </w:r>
      <w:r>
        <w:rPr>
          <w:color w:val="000000"/>
        </w:rPr>
        <w:t>% of this component).</w:t>
      </w:r>
    </w:p>
    <w:p w14:paraId="2D0E900B" w14:textId="0F86E9BD" w:rsidR="0031136C" w:rsidRPr="00D9390A" w:rsidRDefault="0031136C" w:rsidP="0062370B">
      <w:pPr>
        <w:pStyle w:val="ListParagraph"/>
        <w:numPr>
          <w:ilvl w:val="3"/>
          <w:numId w:val="53"/>
        </w:numPr>
      </w:pPr>
      <w:r w:rsidRPr="0062370B">
        <w:rPr>
          <w:color w:val="000000"/>
        </w:rPr>
        <w:t xml:space="preserve">Meets 8 measures – qualifies for </w:t>
      </w:r>
      <w:r w:rsidR="0062370B">
        <w:rPr>
          <w:color w:val="000000"/>
        </w:rPr>
        <w:t>22</w:t>
      </w:r>
      <w:r w:rsidRPr="0062370B">
        <w:rPr>
          <w:color w:val="000000"/>
        </w:rPr>
        <w:t>% (</w:t>
      </w:r>
      <w:r w:rsidR="0062370B">
        <w:rPr>
          <w:color w:val="000000"/>
        </w:rPr>
        <w:t>56</w:t>
      </w:r>
      <w:r w:rsidRPr="0062370B">
        <w:rPr>
          <w:color w:val="000000"/>
        </w:rPr>
        <w:t>% of this component).</w:t>
      </w:r>
    </w:p>
    <w:p w14:paraId="22B8D023" w14:textId="3011A36F" w:rsidR="0031136C" w:rsidRPr="00EF01FC" w:rsidRDefault="0031136C" w:rsidP="00EF01FC">
      <w:pPr>
        <w:pStyle w:val="ListParagraph"/>
        <w:numPr>
          <w:ilvl w:val="3"/>
          <w:numId w:val="53"/>
        </w:numPr>
      </w:pPr>
      <w:r>
        <w:rPr>
          <w:color w:val="000000"/>
        </w:rPr>
        <w:t xml:space="preserve">Meets 7 measures – qualifies for </w:t>
      </w:r>
      <w:r w:rsidR="00EF01FC">
        <w:rPr>
          <w:color w:val="000000"/>
        </w:rPr>
        <w:t>11</w:t>
      </w:r>
      <w:r>
        <w:rPr>
          <w:color w:val="000000"/>
        </w:rPr>
        <w:t>% (</w:t>
      </w:r>
      <w:r w:rsidR="00EF01FC">
        <w:rPr>
          <w:color w:val="000000"/>
        </w:rPr>
        <w:t>28</w:t>
      </w:r>
      <w:r>
        <w:rPr>
          <w:color w:val="000000"/>
        </w:rPr>
        <w:t>% of this component).</w:t>
      </w:r>
    </w:p>
    <w:p w14:paraId="271595E6" w14:textId="77777777" w:rsidR="0031136C" w:rsidRPr="00EF01FC" w:rsidRDefault="0031136C" w:rsidP="00EF01FC">
      <w:pPr>
        <w:pStyle w:val="ListParagraph"/>
        <w:numPr>
          <w:ilvl w:val="3"/>
          <w:numId w:val="53"/>
        </w:numPr>
      </w:pPr>
      <w:r>
        <w:rPr>
          <w:color w:val="000000"/>
        </w:rPr>
        <w:t>Meets 6 or fewer measures – qualifies for 0% of this component.</w:t>
      </w:r>
    </w:p>
    <w:p w14:paraId="651873E3" w14:textId="040EDEB9" w:rsidR="0031136C" w:rsidRDefault="0031136C" w:rsidP="00EF01FC">
      <w:pPr>
        <w:pStyle w:val="ListParagraph"/>
        <w:numPr>
          <w:ilvl w:val="1"/>
          <w:numId w:val="53"/>
        </w:numPr>
      </w:pPr>
      <w:r>
        <w:rPr>
          <w:color w:val="000000"/>
        </w:rPr>
        <w:t xml:space="preserve">Demonstration Years 4 </w:t>
      </w:r>
      <w:r w:rsidR="00EF01FC">
        <w:rPr>
          <w:color w:val="000000"/>
        </w:rPr>
        <w:t xml:space="preserve">through </w:t>
      </w:r>
      <w:r w:rsidR="000C5CF8">
        <w:rPr>
          <w:color w:val="000000"/>
        </w:rPr>
        <w:t>5</w:t>
      </w:r>
      <w:r>
        <w:rPr>
          <w:color w:val="000000"/>
        </w:rPr>
        <w:t xml:space="preserve">: </w:t>
      </w:r>
      <w:r>
        <w:t xml:space="preserve">The Region 1 retrospective performance payment will be allocated consistent with the approach taken in Demonstration Year 3, as follows:  </w:t>
      </w:r>
    </w:p>
    <w:p w14:paraId="7622A8BF" w14:textId="03E1109C" w:rsidR="0031136C" w:rsidRPr="00B015F5" w:rsidRDefault="0031136C" w:rsidP="00EF01FC">
      <w:pPr>
        <w:pStyle w:val="ListParagraph"/>
        <w:numPr>
          <w:ilvl w:val="2"/>
          <w:numId w:val="53"/>
        </w:numPr>
      </w:pPr>
      <w:r>
        <w:rPr>
          <w:bCs/>
        </w:rPr>
        <w:t xml:space="preserve">The first component (60% of the Region 1 retrospective performance payment) will be </w:t>
      </w:r>
      <w:r w:rsidRPr="00B015F5">
        <w:rPr>
          <w:bCs/>
        </w:rPr>
        <w:t xml:space="preserve">distributed once </w:t>
      </w:r>
      <w:r w:rsidR="00DB6582" w:rsidRPr="00B015F5">
        <w:rPr>
          <w:bCs/>
        </w:rPr>
        <w:t>CMS determines</w:t>
      </w:r>
      <w:r w:rsidRPr="00B015F5">
        <w:rPr>
          <w:bCs/>
        </w:rPr>
        <w:t xml:space="preserve"> that the</w:t>
      </w:r>
      <w:r>
        <w:rPr>
          <w:bCs/>
        </w:rPr>
        <w:t xml:space="preserve"> State has scored a “met” on at least 50</w:t>
      </w:r>
      <w:r w:rsidR="00DB6582">
        <w:rPr>
          <w:bCs/>
        </w:rPr>
        <w:t>% of the “benchmark/improvement</w:t>
      </w:r>
      <w:r>
        <w:rPr>
          <w:bCs/>
        </w:rPr>
        <w:t xml:space="preserve">” measures included in the applicable </w:t>
      </w:r>
      <w:r w:rsidR="00416456">
        <w:rPr>
          <w:bCs/>
        </w:rPr>
        <w:t>D</w:t>
      </w:r>
      <w:r>
        <w:rPr>
          <w:bCs/>
        </w:rPr>
        <w:t xml:space="preserve">emonstration </w:t>
      </w:r>
      <w:r w:rsidR="00416456">
        <w:rPr>
          <w:bCs/>
        </w:rPr>
        <w:t>Ye</w:t>
      </w:r>
      <w:r>
        <w:rPr>
          <w:bCs/>
        </w:rPr>
        <w:t xml:space="preserve">ar for Region 1. </w:t>
      </w:r>
      <w:r>
        <w:t xml:space="preserve">If </w:t>
      </w:r>
      <w:r>
        <w:lastRenderedPageBreak/>
        <w:t>the State does not “</w:t>
      </w:r>
      <w:r w:rsidRPr="00B015F5">
        <w:t xml:space="preserve">meet” at least 50% of these measures, no payment will be made for this </w:t>
      </w:r>
      <w:r w:rsidRPr="00B015F5">
        <w:rPr>
          <w:bCs/>
        </w:rPr>
        <w:t>component.</w:t>
      </w:r>
    </w:p>
    <w:p w14:paraId="2AB0AD0F" w14:textId="1014B838" w:rsidR="0031136C" w:rsidRPr="00B015F5" w:rsidRDefault="0031136C" w:rsidP="00EF01FC">
      <w:pPr>
        <w:pStyle w:val="ListParagraph"/>
        <w:numPr>
          <w:ilvl w:val="3"/>
          <w:numId w:val="53"/>
        </w:numPr>
      </w:pPr>
      <w:r w:rsidRPr="00B015F5">
        <w:rPr>
          <w:color w:val="000000"/>
        </w:rPr>
        <w:t xml:space="preserve">Specifically, for Demonstration Year 4, </w:t>
      </w:r>
      <w:r w:rsidRPr="00B015F5">
        <w:rPr>
          <w:bCs/>
        </w:rPr>
        <w:t>the State will qualify for the first component (60% of the retrospective performance payment) for Region 1 once it has been determined that the State has met the benchmark or improvement goal for at least 50% (5) of the following 10 measures: A.1, A.2, A.3, A.4, B.1, B.2, B.3, C.1, C.2</w:t>
      </w:r>
      <w:r w:rsidR="00D57671">
        <w:rPr>
          <w:bCs/>
        </w:rPr>
        <w:t>,</w:t>
      </w:r>
      <w:r w:rsidRPr="00B015F5">
        <w:rPr>
          <w:bCs/>
        </w:rPr>
        <w:t xml:space="preserve"> and C.3</w:t>
      </w:r>
      <w:r w:rsidR="00DB6582" w:rsidRPr="00B015F5">
        <w:rPr>
          <w:bCs/>
          <w:szCs w:val="24"/>
        </w:rPr>
        <w:t>, as listed in Table 1</w:t>
      </w:r>
      <w:r w:rsidRPr="00B015F5">
        <w:rPr>
          <w:bCs/>
        </w:rPr>
        <w:t>.</w:t>
      </w:r>
    </w:p>
    <w:p w14:paraId="56EBF416" w14:textId="00A7063F" w:rsidR="0031136C" w:rsidRPr="00B015F5" w:rsidRDefault="0031136C" w:rsidP="00EF01FC">
      <w:pPr>
        <w:pStyle w:val="ListParagraph"/>
        <w:numPr>
          <w:ilvl w:val="3"/>
          <w:numId w:val="53"/>
        </w:numPr>
      </w:pPr>
      <w:r w:rsidRPr="00B015F5">
        <w:rPr>
          <w:bCs/>
        </w:rPr>
        <w:t>Specifically</w:t>
      </w:r>
      <w:r w:rsidR="00BB7569">
        <w:rPr>
          <w:bCs/>
        </w:rPr>
        <w:t>,</w:t>
      </w:r>
      <w:r w:rsidRPr="00B015F5">
        <w:rPr>
          <w:bCs/>
        </w:rPr>
        <w:t xml:space="preserve"> for Demonstration Year 5, the State will qualify for the first component (60% of the retrospective performance payment) for Region 1 once it has been determined that the State has met the benchmark or improvement goal for at least 50% (</w:t>
      </w:r>
      <w:r w:rsidR="00EF01FC" w:rsidRPr="00B015F5">
        <w:rPr>
          <w:bCs/>
        </w:rPr>
        <w:t>5</w:t>
      </w:r>
      <w:r w:rsidRPr="00B015F5">
        <w:rPr>
          <w:bCs/>
        </w:rPr>
        <w:t xml:space="preserve">) of the following </w:t>
      </w:r>
      <w:r w:rsidR="00EF01FC" w:rsidRPr="00B015F5">
        <w:rPr>
          <w:bCs/>
        </w:rPr>
        <w:t>9</w:t>
      </w:r>
      <w:r w:rsidRPr="00B015F5">
        <w:rPr>
          <w:bCs/>
        </w:rPr>
        <w:t xml:space="preserve"> measures: A.1, A.2, A.3, A.4,</w:t>
      </w:r>
      <w:r w:rsidR="00EF01FC" w:rsidRPr="00B015F5">
        <w:rPr>
          <w:bCs/>
        </w:rPr>
        <w:t xml:space="preserve"> </w:t>
      </w:r>
      <w:r w:rsidRPr="00B015F5">
        <w:rPr>
          <w:bCs/>
        </w:rPr>
        <w:t>B.2, B.3, C.1, C.2</w:t>
      </w:r>
      <w:r w:rsidR="00D57671">
        <w:rPr>
          <w:bCs/>
        </w:rPr>
        <w:t>,</w:t>
      </w:r>
      <w:r w:rsidRPr="00B015F5">
        <w:rPr>
          <w:bCs/>
        </w:rPr>
        <w:t xml:space="preserve"> and C.3</w:t>
      </w:r>
      <w:r w:rsidR="00DB6582" w:rsidRPr="00B015F5">
        <w:rPr>
          <w:bCs/>
          <w:szCs w:val="24"/>
        </w:rPr>
        <w:t>, as listed in Table 1</w:t>
      </w:r>
      <w:r w:rsidRPr="00B015F5">
        <w:rPr>
          <w:bCs/>
        </w:rPr>
        <w:t>.</w:t>
      </w:r>
    </w:p>
    <w:p w14:paraId="54C6585A" w14:textId="7E278F5B" w:rsidR="0031136C" w:rsidRPr="00B015F5" w:rsidRDefault="0031136C" w:rsidP="00343B91">
      <w:pPr>
        <w:pStyle w:val="ListParagraph"/>
        <w:numPr>
          <w:ilvl w:val="2"/>
          <w:numId w:val="53"/>
        </w:numPr>
      </w:pPr>
      <w:r w:rsidRPr="00B015F5">
        <w:t xml:space="preserve">The second component (40% of the retrospective performance payment) for Region 1 is only available if the State has met the criteria for the first component. The second component will be distributed based on the number of percentage points above 50% of measures for which the State has scored a “met,” multiplied by </w:t>
      </w:r>
      <w:r w:rsidRPr="00B015F5">
        <w:rPr>
          <w:bCs/>
        </w:rPr>
        <w:t>(4/</w:t>
      </w:r>
      <w:r w:rsidRPr="00B015F5">
        <w:t>3</w:t>
      </w:r>
      <w:r w:rsidRPr="00B015F5">
        <w:rPr>
          <w:bCs/>
        </w:rPr>
        <w:t>),</w:t>
      </w:r>
      <w:r w:rsidRPr="00B015F5">
        <w:t xml:space="preserve"> including all measures included in the applicable </w:t>
      </w:r>
      <w:r w:rsidR="00161E03">
        <w:t>D</w:t>
      </w:r>
      <w:r w:rsidRPr="00B015F5">
        <w:t xml:space="preserve">emonstration </w:t>
      </w:r>
      <w:r w:rsidR="00161E03">
        <w:t>Y</w:t>
      </w:r>
      <w:r w:rsidRPr="00B015F5">
        <w:t>ear for Region 1, with each measure weighted equally. (For example, if the</w:t>
      </w:r>
      <w:r>
        <w:t xml:space="preserve"> State meets 60% of measures, it will qualify for one-third of this component. If the State meets 70% of measures, it will qualify for two-thirds of this component.) Meeting 80% or more of all measures would qualify the State for the maximum Region 1 </w:t>
      </w:r>
      <w:r w:rsidRPr="00B015F5">
        <w:t>performance payment.</w:t>
      </w:r>
    </w:p>
    <w:p w14:paraId="58384BE9" w14:textId="60E4F88C" w:rsidR="0031136C" w:rsidRPr="00416456" w:rsidRDefault="0031136C" w:rsidP="00343B91">
      <w:pPr>
        <w:pStyle w:val="ListParagraph"/>
        <w:numPr>
          <w:ilvl w:val="3"/>
          <w:numId w:val="53"/>
        </w:numPr>
      </w:pPr>
      <w:r w:rsidRPr="00B015F5">
        <w:t xml:space="preserve">Specifically, </w:t>
      </w:r>
      <w:r w:rsidRPr="00B015F5">
        <w:rPr>
          <w:color w:val="000000"/>
        </w:rPr>
        <w:t xml:space="preserve">for Demonstration Year 4, distribution of the second component is based on the number of measures for which the </w:t>
      </w:r>
      <w:r w:rsidR="00F17A5E" w:rsidRPr="00B015F5">
        <w:rPr>
          <w:color w:val="000000"/>
        </w:rPr>
        <w:t>S</w:t>
      </w:r>
      <w:r w:rsidRPr="00B015F5">
        <w:rPr>
          <w:color w:val="000000"/>
        </w:rPr>
        <w:t>tate</w:t>
      </w:r>
      <w:r w:rsidR="005412E1" w:rsidRPr="00B015F5">
        <w:rPr>
          <w:color w:val="000000"/>
        </w:rPr>
        <w:t xml:space="preserve"> </w:t>
      </w:r>
      <w:r w:rsidRPr="00B015F5">
        <w:rPr>
          <w:color w:val="000000"/>
        </w:rPr>
        <w:t xml:space="preserve">has completely and accurately reported (applicable for </w:t>
      </w:r>
      <w:r w:rsidR="00506D18" w:rsidRPr="00B015F5">
        <w:rPr>
          <w:color w:val="000000"/>
        </w:rPr>
        <w:t>2</w:t>
      </w:r>
      <w:r w:rsidRPr="00B015F5">
        <w:rPr>
          <w:color w:val="000000"/>
        </w:rPr>
        <w:t xml:space="preserve"> measures: </w:t>
      </w:r>
      <w:r w:rsidRPr="00B015F5">
        <w:rPr>
          <w:color w:val="000000"/>
        </w:rPr>
        <w:lastRenderedPageBreak/>
        <w:t xml:space="preserve">A.7 and A.8) and met the benchmark or improvement goal (applicable for 10 measures: A.1, A.2, A.3, A.4, B.1, B.2, B.3, C.1, C.2, </w:t>
      </w:r>
      <w:r w:rsidR="00D57671">
        <w:rPr>
          <w:color w:val="000000"/>
        </w:rPr>
        <w:t xml:space="preserve">and </w:t>
      </w:r>
      <w:r w:rsidRPr="00B015F5">
        <w:rPr>
          <w:color w:val="000000"/>
        </w:rPr>
        <w:t>C.3)</w:t>
      </w:r>
      <w:r w:rsidR="00DB6582" w:rsidRPr="00B015F5">
        <w:rPr>
          <w:bCs/>
          <w:szCs w:val="24"/>
        </w:rPr>
        <w:t>, as listed in Table 1</w:t>
      </w:r>
      <w:r w:rsidRPr="00416456">
        <w:rPr>
          <w:color w:val="000000"/>
        </w:rPr>
        <w:t xml:space="preserve">. </w:t>
      </w:r>
      <w:r w:rsidR="00FA0475" w:rsidRPr="00416456">
        <w:t>Measures that are not completely and accurately reported are scored as a “</w:t>
      </w:r>
      <w:r w:rsidR="003172C3" w:rsidRPr="00416456">
        <w:t xml:space="preserve">not </w:t>
      </w:r>
      <w:r w:rsidR="00FA0475" w:rsidRPr="00416456">
        <w:t>met</w:t>
      </w:r>
      <w:r w:rsidR="0020142D" w:rsidRPr="00416456">
        <w:t>.”</w:t>
      </w:r>
      <w:r w:rsidR="00FA0475" w:rsidRPr="00416456">
        <w:rPr>
          <w:i/>
        </w:rPr>
        <w:t xml:space="preserve">  </w:t>
      </w:r>
      <w:r w:rsidRPr="00416456">
        <w:rPr>
          <w:color w:val="000000"/>
        </w:rPr>
        <w:t>Among these total 1</w:t>
      </w:r>
      <w:r w:rsidR="00506D18" w:rsidRPr="00416456">
        <w:rPr>
          <w:color w:val="000000"/>
        </w:rPr>
        <w:t>2</w:t>
      </w:r>
      <w:r w:rsidRPr="00416456">
        <w:rPr>
          <w:color w:val="000000"/>
        </w:rPr>
        <w:t xml:space="preserve"> measures considered, the State qualifies for this component as follows:</w:t>
      </w:r>
    </w:p>
    <w:p w14:paraId="5D9BE144" w14:textId="3C4F8CD2" w:rsidR="00506D18" w:rsidRDefault="0031136C" w:rsidP="002A7FDE">
      <w:pPr>
        <w:pStyle w:val="ListParagraph"/>
        <w:numPr>
          <w:ilvl w:val="4"/>
          <w:numId w:val="53"/>
        </w:numPr>
      </w:pPr>
      <w:r w:rsidRPr="003F1009">
        <w:rPr>
          <w:color w:val="000000"/>
        </w:rPr>
        <w:t xml:space="preserve">Meets </w:t>
      </w:r>
      <w:r w:rsidR="00506D18" w:rsidRPr="003F1009">
        <w:rPr>
          <w:color w:val="000000"/>
        </w:rPr>
        <w:t>10</w:t>
      </w:r>
      <w:r w:rsidRPr="003F1009">
        <w:rPr>
          <w:color w:val="000000"/>
        </w:rPr>
        <w:t xml:space="preserve"> or more measures – qualifies for the full 40% (100% of this component).</w:t>
      </w:r>
    </w:p>
    <w:p w14:paraId="401DD52F" w14:textId="145CB9DE" w:rsidR="0031136C" w:rsidRPr="00343B91" w:rsidRDefault="0031136C" w:rsidP="00343B91">
      <w:pPr>
        <w:pStyle w:val="ListParagraph"/>
        <w:numPr>
          <w:ilvl w:val="4"/>
          <w:numId w:val="53"/>
        </w:numPr>
      </w:pPr>
      <w:r>
        <w:rPr>
          <w:color w:val="000000"/>
        </w:rPr>
        <w:t xml:space="preserve">Meets 9 measures – qualifies for </w:t>
      </w:r>
      <w:r w:rsidR="00506D18">
        <w:rPr>
          <w:color w:val="000000"/>
        </w:rPr>
        <w:t>33</w:t>
      </w:r>
      <w:r>
        <w:rPr>
          <w:color w:val="000000"/>
        </w:rPr>
        <w:t>% (</w:t>
      </w:r>
      <w:r w:rsidR="00506D18">
        <w:rPr>
          <w:color w:val="000000"/>
        </w:rPr>
        <w:t>83</w:t>
      </w:r>
      <w:r>
        <w:rPr>
          <w:color w:val="000000"/>
        </w:rPr>
        <w:t>% of this component).</w:t>
      </w:r>
    </w:p>
    <w:p w14:paraId="538830A2" w14:textId="4472E7C2" w:rsidR="0031136C" w:rsidRPr="00343B91" w:rsidRDefault="0031136C" w:rsidP="00343B91">
      <w:pPr>
        <w:pStyle w:val="ListParagraph"/>
        <w:numPr>
          <w:ilvl w:val="4"/>
          <w:numId w:val="53"/>
        </w:numPr>
      </w:pPr>
      <w:r>
        <w:rPr>
          <w:color w:val="000000"/>
        </w:rPr>
        <w:t xml:space="preserve">Meets 8 measures – qualifies for </w:t>
      </w:r>
      <w:r w:rsidR="00506D18">
        <w:rPr>
          <w:color w:val="000000"/>
        </w:rPr>
        <w:t>22</w:t>
      </w:r>
      <w:r>
        <w:rPr>
          <w:color w:val="000000"/>
        </w:rPr>
        <w:t>% (</w:t>
      </w:r>
      <w:r w:rsidR="00506D18">
        <w:rPr>
          <w:color w:val="000000"/>
        </w:rPr>
        <w:t>56</w:t>
      </w:r>
      <w:r>
        <w:rPr>
          <w:color w:val="000000"/>
        </w:rPr>
        <w:t>% of this component).</w:t>
      </w:r>
    </w:p>
    <w:p w14:paraId="2ABE9869" w14:textId="1B2FD1DB" w:rsidR="0031136C" w:rsidRPr="00343B91" w:rsidRDefault="0031136C" w:rsidP="00343B91">
      <w:pPr>
        <w:pStyle w:val="ListParagraph"/>
        <w:numPr>
          <w:ilvl w:val="4"/>
          <w:numId w:val="53"/>
        </w:numPr>
      </w:pPr>
      <w:r>
        <w:rPr>
          <w:color w:val="000000"/>
        </w:rPr>
        <w:t xml:space="preserve">Meets 7 measures – qualifies for </w:t>
      </w:r>
      <w:r w:rsidR="00506D18">
        <w:rPr>
          <w:color w:val="000000"/>
        </w:rPr>
        <w:t>11</w:t>
      </w:r>
      <w:r>
        <w:rPr>
          <w:color w:val="000000"/>
        </w:rPr>
        <w:t>% (</w:t>
      </w:r>
      <w:r w:rsidR="00A26883">
        <w:rPr>
          <w:color w:val="000000"/>
        </w:rPr>
        <w:t>28</w:t>
      </w:r>
      <w:r>
        <w:rPr>
          <w:color w:val="000000"/>
        </w:rPr>
        <w:t>% of this component).</w:t>
      </w:r>
    </w:p>
    <w:p w14:paraId="6CE9BAA6" w14:textId="77777777" w:rsidR="0031136C" w:rsidRPr="00343B91" w:rsidRDefault="0031136C" w:rsidP="00343B91">
      <w:pPr>
        <w:pStyle w:val="ListParagraph"/>
        <w:numPr>
          <w:ilvl w:val="4"/>
          <w:numId w:val="53"/>
        </w:numPr>
      </w:pPr>
      <w:r>
        <w:rPr>
          <w:color w:val="000000"/>
        </w:rPr>
        <w:t>Meets 6 or fewer measures – qualifies for 0% of this component.</w:t>
      </w:r>
    </w:p>
    <w:p w14:paraId="5DAA6F95" w14:textId="261E1A4B" w:rsidR="005412E1" w:rsidRPr="00416456" w:rsidRDefault="0031136C" w:rsidP="00343B91">
      <w:pPr>
        <w:pStyle w:val="ListParagraph"/>
        <w:numPr>
          <w:ilvl w:val="3"/>
          <w:numId w:val="53"/>
        </w:numPr>
      </w:pPr>
      <w:r>
        <w:rPr>
          <w:color w:val="000000"/>
        </w:rPr>
        <w:t xml:space="preserve">Specifically, for Demonstration Year 5, distribution of the second component is based on the number of measures for which the </w:t>
      </w:r>
      <w:r w:rsidR="00F17A5E">
        <w:rPr>
          <w:color w:val="000000"/>
        </w:rPr>
        <w:t>S</w:t>
      </w:r>
      <w:r>
        <w:rPr>
          <w:color w:val="000000"/>
        </w:rPr>
        <w:t xml:space="preserve">tate has completely and accurately reported (applicable for </w:t>
      </w:r>
      <w:r w:rsidR="00A26883">
        <w:rPr>
          <w:color w:val="000000"/>
        </w:rPr>
        <w:t>4</w:t>
      </w:r>
      <w:r>
        <w:rPr>
          <w:color w:val="000000"/>
        </w:rPr>
        <w:t xml:space="preserve"> measures: A.8</w:t>
      </w:r>
      <w:r w:rsidR="00A26883">
        <w:rPr>
          <w:color w:val="000000"/>
        </w:rPr>
        <w:t>,</w:t>
      </w:r>
      <w:r>
        <w:rPr>
          <w:color w:val="000000"/>
        </w:rPr>
        <w:t xml:space="preserve"> A.9, A.10,</w:t>
      </w:r>
      <w:r w:rsidR="00DB6582">
        <w:rPr>
          <w:color w:val="000000"/>
        </w:rPr>
        <w:t xml:space="preserve"> and</w:t>
      </w:r>
      <w:r>
        <w:rPr>
          <w:color w:val="000000"/>
        </w:rPr>
        <w:t xml:space="preserve"> </w:t>
      </w:r>
      <w:r w:rsidR="00A26883">
        <w:rPr>
          <w:color w:val="000000"/>
        </w:rPr>
        <w:t>A.11</w:t>
      </w:r>
      <w:r>
        <w:rPr>
          <w:color w:val="000000"/>
        </w:rPr>
        <w:t xml:space="preserve">) and met </w:t>
      </w:r>
      <w:r w:rsidRPr="00416456">
        <w:rPr>
          <w:color w:val="000000"/>
        </w:rPr>
        <w:t xml:space="preserve">the benchmark or improvement goal (applicable for </w:t>
      </w:r>
      <w:r w:rsidR="00A26883" w:rsidRPr="00416456">
        <w:rPr>
          <w:color w:val="000000"/>
        </w:rPr>
        <w:t xml:space="preserve">9 measures: A.1, A.2, A.3, A.4, </w:t>
      </w:r>
      <w:r w:rsidRPr="00416456">
        <w:rPr>
          <w:color w:val="000000"/>
        </w:rPr>
        <w:t>B.2, B.3, C.1, C.2, and C.3)</w:t>
      </w:r>
      <w:r w:rsidR="00DB6582" w:rsidRPr="00416456">
        <w:rPr>
          <w:bCs/>
          <w:szCs w:val="24"/>
        </w:rPr>
        <w:t>, as listed in Table 1</w:t>
      </w:r>
      <w:r w:rsidRPr="00416456">
        <w:rPr>
          <w:color w:val="000000"/>
        </w:rPr>
        <w:t>.</w:t>
      </w:r>
      <w:r w:rsidR="00FA0475" w:rsidRPr="00416456">
        <w:t xml:space="preserve"> Measures that are not completely and accurately reported are scored as “</w:t>
      </w:r>
      <w:r w:rsidR="003172C3" w:rsidRPr="00416456">
        <w:t xml:space="preserve">not </w:t>
      </w:r>
      <w:r w:rsidR="00FA0475" w:rsidRPr="00416456">
        <w:t>met</w:t>
      </w:r>
      <w:r w:rsidR="0020142D" w:rsidRPr="00416456">
        <w:t>.”</w:t>
      </w:r>
      <w:r w:rsidR="00FA0475" w:rsidRPr="00416456">
        <w:rPr>
          <w:i/>
        </w:rPr>
        <w:t xml:space="preserve">  </w:t>
      </w:r>
      <w:r w:rsidRPr="00416456">
        <w:rPr>
          <w:color w:val="000000"/>
        </w:rPr>
        <w:t xml:space="preserve">Among these total </w:t>
      </w:r>
      <w:r w:rsidR="00A26883" w:rsidRPr="00416456">
        <w:rPr>
          <w:color w:val="000000"/>
        </w:rPr>
        <w:t>13</w:t>
      </w:r>
      <w:r w:rsidRPr="00416456">
        <w:rPr>
          <w:color w:val="000000"/>
        </w:rPr>
        <w:t xml:space="preserve"> measures considered, the State qualifies for this component as follows</w:t>
      </w:r>
      <w:r w:rsidR="005412E1" w:rsidRPr="00416456">
        <w:rPr>
          <w:color w:val="000000"/>
        </w:rPr>
        <w:t>:</w:t>
      </w:r>
    </w:p>
    <w:p w14:paraId="63764D35" w14:textId="1C7EF774" w:rsidR="00A26883" w:rsidRPr="00B015F5" w:rsidRDefault="0031136C" w:rsidP="005412E1">
      <w:pPr>
        <w:pStyle w:val="ListParagraph"/>
        <w:numPr>
          <w:ilvl w:val="4"/>
          <w:numId w:val="53"/>
        </w:numPr>
      </w:pPr>
      <w:r w:rsidRPr="00B015F5">
        <w:rPr>
          <w:color w:val="000000"/>
        </w:rPr>
        <w:t xml:space="preserve">Meets </w:t>
      </w:r>
      <w:r w:rsidR="00A26883" w:rsidRPr="00B015F5">
        <w:rPr>
          <w:color w:val="000000"/>
        </w:rPr>
        <w:t>11</w:t>
      </w:r>
      <w:r w:rsidRPr="00B015F5">
        <w:rPr>
          <w:color w:val="000000"/>
        </w:rPr>
        <w:t xml:space="preserve"> or more measures – qualifies for the full 40% (100% of this component).</w:t>
      </w:r>
    </w:p>
    <w:p w14:paraId="6B53092E" w14:textId="70EE377A" w:rsidR="0031136C" w:rsidRPr="00B015F5" w:rsidRDefault="0031136C" w:rsidP="00343B91">
      <w:pPr>
        <w:pStyle w:val="ListParagraph"/>
        <w:numPr>
          <w:ilvl w:val="4"/>
          <w:numId w:val="53"/>
        </w:numPr>
      </w:pPr>
      <w:r w:rsidRPr="00B015F5">
        <w:rPr>
          <w:color w:val="000000"/>
        </w:rPr>
        <w:t xml:space="preserve">Meets 10 measures – qualifies for </w:t>
      </w:r>
      <w:r w:rsidR="00A26883" w:rsidRPr="00B015F5">
        <w:rPr>
          <w:color w:val="000000"/>
        </w:rPr>
        <w:t>36</w:t>
      </w:r>
      <w:r w:rsidRPr="00B015F5">
        <w:rPr>
          <w:color w:val="000000"/>
        </w:rPr>
        <w:t>% (</w:t>
      </w:r>
      <w:r w:rsidR="00A26883" w:rsidRPr="00B015F5">
        <w:rPr>
          <w:color w:val="000000"/>
        </w:rPr>
        <w:t>90</w:t>
      </w:r>
      <w:r w:rsidRPr="00B015F5">
        <w:rPr>
          <w:color w:val="000000"/>
        </w:rPr>
        <w:t>% of this component).</w:t>
      </w:r>
    </w:p>
    <w:p w14:paraId="6B9411C9" w14:textId="2AF7F2D7" w:rsidR="0031136C" w:rsidRPr="00B015F5" w:rsidRDefault="0031136C" w:rsidP="00343B91">
      <w:pPr>
        <w:pStyle w:val="ListParagraph"/>
        <w:numPr>
          <w:ilvl w:val="4"/>
          <w:numId w:val="53"/>
        </w:numPr>
      </w:pPr>
      <w:r w:rsidRPr="00B015F5">
        <w:rPr>
          <w:color w:val="000000"/>
        </w:rPr>
        <w:t xml:space="preserve">Meets 9 measures – qualifies for </w:t>
      </w:r>
      <w:r w:rsidR="00A26883" w:rsidRPr="00B015F5">
        <w:rPr>
          <w:color w:val="000000"/>
        </w:rPr>
        <w:t>26</w:t>
      </w:r>
      <w:r w:rsidRPr="00B015F5">
        <w:rPr>
          <w:color w:val="000000"/>
        </w:rPr>
        <w:t>% (</w:t>
      </w:r>
      <w:r w:rsidR="00A26883" w:rsidRPr="00B015F5">
        <w:rPr>
          <w:color w:val="000000"/>
        </w:rPr>
        <w:t>64</w:t>
      </w:r>
      <w:r w:rsidRPr="00B015F5">
        <w:rPr>
          <w:color w:val="000000"/>
        </w:rPr>
        <w:t>% of this component).</w:t>
      </w:r>
    </w:p>
    <w:p w14:paraId="2A7B3166" w14:textId="052BFEF2" w:rsidR="00106141" w:rsidRPr="00B015F5" w:rsidRDefault="00DB6582" w:rsidP="00106141">
      <w:pPr>
        <w:pStyle w:val="ListParagraph"/>
        <w:numPr>
          <w:ilvl w:val="4"/>
          <w:numId w:val="53"/>
        </w:numPr>
      </w:pPr>
      <w:r w:rsidRPr="00B015F5">
        <w:rPr>
          <w:color w:val="000000"/>
        </w:rPr>
        <w:lastRenderedPageBreak/>
        <w:t>Meets 8</w:t>
      </w:r>
      <w:r w:rsidR="00A26883" w:rsidRPr="00B015F5">
        <w:rPr>
          <w:color w:val="000000"/>
        </w:rPr>
        <w:t xml:space="preserve"> or fewer measures – qualifies for 0% of this component.</w:t>
      </w:r>
    </w:p>
    <w:p w14:paraId="547DF4F1" w14:textId="1BB79366" w:rsidR="00F542FA" w:rsidRPr="00B015F5" w:rsidRDefault="00F542FA" w:rsidP="00343B91">
      <w:pPr>
        <w:pStyle w:val="ListParagraph"/>
        <w:numPr>
          <w:ilvl w:val="1"/>
          <w:numId w:val="53"/>
        </w:numPr>
      </w:pPr>
      <w:r w:rsidRPr="00B015F5">
        <w:rPr>
          <w:color w:val="000000"/>
        </w:rPr>
        <w:t>Table 3 below indicates what percent of the total available Re</w:t>
      </w:r>
      <w:r w:rsidR="00F17A5E" w:rsidRPr="00B015F5">
        <w:rPr>
          <w:color w:val="000000"/>
        </w:rPr>
        <w:t>gion 1 performance payment the S</w:t>
      </w:r>
      <w:r w:rsidRPr="00B015F5">
        <w:rPr>
          <w:color w:val="000000"/>
        </w:rPr>
        <w:t>tate is eligible to receive based on its performance on the quality measures</w:t>
      </w:r>
      <w:r w:rsidR="00416456">
        <w:rPr>
          <w:color w:val="000000"/>
        </w:rPr>
        <w:t>,</w:t>
      </w:r>
      <w:r w:rsidR="00DB6582" w:rsidRPr="00B015F5">
        <w:rPr>
          <w:color w:val="000000"/>
        </w:rPr>
        <w:t xml:space="preserve"> as described in IV.J.3.b.vi</w:t>
      </w:r>
      <w:r w:rsidRPr="00B015F5">
        <w:rPr>
          <w:color w:val="000000"/>
        </w:rPr>
        <w:t>. To the extent all measures are not reported completely and accurately, the available performance payment will vary from that shown in Table 3</w:t>
      </w:r>
      <w:r w:rsidR="003E20B3" w:rsidRPr="00B015F5">
        <w:rPr>
          <w:color w:val="000000"/>
        </w:rPr>
        <w:t>.</w:t>
      </w:r>
      <w:r w:rsidRPr="00B015F5">
        <w:t xml:space="preserve"> </w:t>
      </w:r>
    </w:p>
    <w:p w14:paraId="7F2A9B03" w14:textId="77777777" w:rsidR="00F542FA" w:rsidRPr="00B015F5" w:rsidRDefault="00F542FA" w:rsidP="00343B91">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rPr>
      </w:pPr>
      <w:r w:rsidRPr="00B015F5">
        <w:rPr>
          <w:b/>
          <w:color w:val="000000"/>
        </w:rPr>
        <w:t xml:space="preserve">Table 3 – Region 1 Available Performance Payment Based on Quality Measure Performance </w:t>
      </w:r>
    </w:p>
    <w:tbl>
      <w:tblPr>
        <w:tblStyle w:val="TableGrid"/>
        <w:tblW w:w="9265" w:type="dxa"/>
        <w:tblLayout w:type="fixed"/>
        <w:tblLook w:val="04A0" w:firstRow="1" w:lastRow="0" w:firstColumn="1" w:lastColumn="0" w:noHBand="0" w:noVBand="1"/>
        <w:tblCaption w:val="Table 3 – Region 1 Available Performance Payment Based on Quality Measure Performance"/>
        <w:tblDescription w:val="Table 3 – Region 1 Available Performance Payment Based on Quality Measure Performance including demonstration years 1 through 5, number of reported only measures, number of benchmarked measures, number of benchmarks met, and total available performance payment"/>
      </w:tblPr>
      <w:tblGrid>
        <w:gridCol w:w="1705"/>
        <w:gridCol w:w="1350"/>
        <w:gridCol w:w="1710"/>
        <w:gridCol w:w="1620"/>
        <w:gridCol w:w="2880"/>
      </w:tblGrid>
      <w:tr w:rsidR="00F542FA" w:rsidRPr="00B015F5" w14:paraId="3F6A8B9C" w14:textId="77777777" w:rsidTr="0041796C">
        <w:trPr>
          <w:trHeight w:val="845"/>
          <w:tblHeader/>
        </w:trPr>
        <w:tc>
          <w:tcPr>
            <w:tcW w:w="1705" w:type="dxa"/>
            <w:hideMark/>
          </w:tcPr>
          <w:p w14:paraId="2089BDA6" w14:textId="77777777" w:rsidR="00F542FA" w:rsidRPr="00B015F5" w:rsidRDefault="00F542FA" w:rsidP="0041796C">
            <w:pPr>
              <w:widowControl/>
              <w:rPr>
                <w:b/>
                <w:bCs/>
                <w:color w:val="000000"/>
                <w:sz w:val="22"/>
                <w:szCs w:val="22"/>
              </w:rPr>
            </w:pPr>
            <w:r w:rsidRPr="00B015F5">
              <w:rPr>
                <w:b/>
                <w:bCs/>
                <w:color w:val="000000"/>
                <w:sz w:val="22"/>
                <w:szCs w:val="22"/>
              </w:rPr>
              <w:t xml:space="preserve">Demonstration Year </w:t>
            </w:r>
          </w:p>
        </w:tc>
        <w:tc>
          <w:tcPr>
            <w:tcW w:w="1350" w:type="dxa"/>
            <w:hideMark/>
          </w:tcPr>
          <w:p w14:paraId="5F3D5102" w14:textId="77777777" w:rsidR="00F542FA" w:rsidRPr="00B015F5" w:rsidRDefault="00F542FA" w:rsidP="0041796C">
            <w:pPr>
              <w:widowControl/>
              <w:rPr>
                <w:b/>
                <w:bCs/>
                <w:color w:val="000000"/>
                <w:sz w:val="22"/>
                <w:szCs w:val="22"/>
              </w:rPr>
            </w:pPr>
            <w:r w:rsidRPr="00B015F5">
              <w:rPr>
                <w:b/>
                <w:bCs/>
                <w:color w:val="000000"/>
                <w:sz w:val="22"/>
                <w:szCs w:val="22"/>
              </w:rPr>
              <w:t># Reported Only Measures</w:t>
            </w:r>
          </w:p>
        </w:tc>
        <w:tc>
          <w:tcPr>
            <w:tcW w:w="1710" w:type="dxa"/>
            <w:hideMark/>
          </w:tcPr>
          <w:p w14:paraId="4E59B369" w14:textId="77777777" w:rsidR="00F542FA" w:rsidRPr="00B015F5" w:rsidRDefault="00F542FA" w:rsidP="0041796C">
            <w:pPr>
              <w:widowControl/>
              <w:rPr>
                <w:b/>
                <w:bCs/>
                <w:color w:val="000000"/>
                <w:sz w:val="22"/>
                <w:szCs w:val="22"/>
              </w:rPr>
            </w:pPr>
            <w:r w:rsidRPr="00B015F5">
              <w:rPr>
                <w:b/>
                <w:bCs/>
                <w:color w:val="000000"/>
                <w:sz w:val="22"/>
                <w:szCs w:val="22"/>
              </w:rPr>
              <w:t># Benchmarked Measures</w:t>
            </w:r>
          </w:p>
        </w:tc>
        <w:tc>
          <w:tcPr>
            <w:tcW w:w="1620" w:type="dxa"/>
            <w:hideMark/>
          </w:tcPr>
          <w:p w14:paraId="62449C62" w14:textId="77777777" w:rsidR="00F542FA" w:rsidRPr="00B015F5" w:rsidRDefault="00F542FA" w:rsidP="0041796C">
            <w:pPr>
              <w:widowControl/>
              <w:rPr>
                <w:b/>
                <w:bCs/>
                <w:color w:val="000000"/>
                <w:sz w:val="22"/>
                <w:szCs w:val="22"/>
              </w:rPr>
            </w:pPr>
            <w:r w:rsidRPr="00B015F5">
              <w:rPr>
                <w:b/>
                <w:bCs/>
                <w:color w:val="000000"/>
                <w:sz w:val="22"/>
                <w:szCs w:val="22"/>
              </w:rPr>
              <w:t># Benchmarks Met</w:t>
            </w:r>
          </w:p>
        </w:tc>
        <w:tc>
          <w:tcPr>
            <w:tcW w:w="2880" w:type="dxa"/>
            <w:hideMark/>
          </w:tcPr>
          <w:p w14:paraId="7D304240" w14:textId="77777777" w:rsidR="00F542FA" w:rsidRPr="00B015F5" w:rsidRDefault="00F542FA" w:rsidP="0041796C">
            <w:pPr>
              <w:widowControl/>
              <w:rPr>
                <w:b/>
                <w:bCs/>
                <w:color w:val="000000"/>
                <w:sz w:val="22"/>
                <w:szCs w:val="22"/>
              </w:rPr>
            </w:pPr>
            <w:r w:rsidRPr="00B015F5">
              <w:rPr>
                <w:b/>
                <w:bCs/>
                <w:color w:val="000000"/>
                <w:sz w:val="22"/>
                <w:szCs w:val="22"/>
              </w:rPr>
              <w:t>Total Available Performance Payment</w:t>
            </w:r>
            <w:r w:rsidR="00DB6582" w:rsidRPr="00B015F5">
              <w:rPr>
                <w:b/>
                <w:bCs/>
                <w:color w:val="000000"/>
                <w:sz w:val="22"/>
                <w:szCs w:val="22"/>
              </w:rPr>
              <w:t>*</w:t>
            </w:r>
          </w:p>
        </w:tc>
      </w:tr>
      <w:tr w:rsidR="00F542FA" w:rsidRPr="00B015F5" w14:paraId="2B079D53" w14:textId="77777777" w:rsidTr="0041796C">
        <w:trPr>
          <w:trHeight w:val="269"/>
        </w:trPr>
        <w:tc>
          <w:tcPr>
            <w:tcW w:w="1705" w:type="dxa"/>
            <w:hideMark/>
          </w:tcPr>
          <w:p w14:paraId="757AAAF9" w14:textId="77777777" w:rsidR="00F542FA" w:rsidRPr="00B015F5" w:rsidRDefault="00F542FA" w:rsidP="0041796C">
            <w:pPr>
              <w:widowControl/>
              <w:jc w:val="center"/>
              <w:rPr>
                <w:bCs/>
                <w:color w:val="000000"/>
                <w:sz w:val="22"/>
                <w:szCs w:val="22"/>
              </w:rPr>
            </w:pPr>
            <w:r w:rsidRPr="00B015F5">
              <w:rPr>
                <w:bCs/>
                <w:color w:val="000000"/>
                <w:sz w:val="22"/>
                <w:szCs w:val="22"/>
              </w:rPr>
              <w:t>1</w:t>
            </w:r>
          </w:p>
        </w:tc>
        <w:tc>
          <w:tcPr>
            <w:tcW w:w="1350" w:type="dxa"/>
            <w:hideMark/>
          </w:tcPr>
          <w:p w14:paraId="7DFE0159" w14:textId="77777777" w:rsidR="00F542FA" w:rsidRPr="00B015F5" w:rsidRDefault="00F542FA" w:rsidP="0041796C">
            <w:pPr>
              <w:widowControl/>
              <w:jc w:val="center"/>
              <w:rPr>
                <w:bCs/>
                <w:color w:val="000000"/>
                <w:sz w:val="22"/>
                <w:szCs w:val="22"/>
              </w:rPr>
            </w:pPr>
            <w:r w:rsidRPr="00B015F5">
              <w:rPr>
                <w:bCs/>
                <w:color w:val="000000"/>
                <w:sz w:val="22"/>
                <w:szCs w:val="22"/>
              </w:rPr>
              <w:t>10</w:t>
            </w:r>
          </w:p>
        </w:tc>
        <w:tc>
          <w:tcPr>
            <w:tcW w:w="1710" w:type="dxa"/>
            <w:hideMark/>
          </w:tcPr>
          <w:p w14:paraId="1486ACF2" w14:textId="77777777" w:rsidR="00F542FA" w:rsidRPr="00B015F5" w:rsidRDefault="00F542FA" w:rsidP="0041796C">
            <w:pPr>
              <w:widowControl/>
              <w:jc w:val="center"/>
              <w:rPr>
                <w:bCs/>
                <w:color w:val="000000"/>
                <w:sz w:val="22"/>
                <w:szCs w:val="22"/>
              </w:rPr>
            </w:pPr>
            <w:r w:rsidRPr="00B015F5">
              <w:rPr>
                <w:bCs/>
                <w:color w:val="000000"/>
                <w:sz w:val="22"/>
                <w:szCs w:val="22"/>
              </w:rPr>
              <w:t>0</w:t>
            </w:r>
          </w:p>
        </w:tc>
        <w:tc>
          <w:tcPr>
            <w:tcW w:w="1620" w:type="dxa"/>
            <w:hideMark/>
          </w:tcPr>
          <w:p w14:paraId="0DA56BE6" w14:textId="77777777" w:rsidR="00F542FA" w:rsidRPr="00B015F5" w:rsidRDefault="00F542FA" w:rsidP="0041796C">
            <w:pPr>
              <w:widowControl/>
              <w:jc w:val="center"/>
              <w:rPr>
                <w:bCs/>
                <w:color w:val="000000"/>
                <w:sz w:val="22"/>
                <w:szCs w:val="22"/>
              </w:rPr>
            </w:pPr>
            <w:r w:rsidRPr="00B015F5">
              <w:rPr>
                <w:bCs/>
                <w:color w:val="000000"/>
                <w:sz w:val="22"/>
                <w:szCs w:val="22"/>
              </w:rPr>
              <w:t>N/A</w:t>
            </w:r>
          </w:p>
        </w:tc>
        <w:tc>
          <w:tcPr>
            <w:tcW w:w="2880" w:type="dxa"/>
            <w:hideMark/>
          </w:tcPr>
          <w:p w14:paraId="1E2921EF"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51EEF288" w14:textId="77777777" w:rsidTr="005C0817">
        <w:trPr>
          <w:trHeight w:val="215"/>
        </w:trPr>
        <w:tc>
          <w:tcPr>
            <w:tcW w:w="1705" w:type="dxa"/>
            <w:hideMark/>
          </w:tcPr>
          <w:p w14:paraId="5E2B4846"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350" w:type="dxa"/>
            <w:hideMark/>
          </w:tcPr>
          <w:p w14:paraId="3D809E70"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710" w:type="dxa"/>
            <w:hideMark/>
          </w:tcPr>
          <w:p w14:paraId="0A4B15F1" w14:textId="77777777" w:rsidR="00F542FA" w:rsidRPr="00B015F5" w:rsidRDefault="00F542FA" w:rsidP="0041796C">
            <w:pPr>
              <w:widowControl/>
              <w:jc w:val="center"/>
              <w:rPr>
                <w:bCs/>
                <w:color w:val="000000"/>
                <w:sz w:val="22"/>
                <w:szCs w:val="22"/>
              </w:rPr>
            </w:pPr>
            <w:r w:rsidRPr="00B015F5">
              <w:rPr>
                <w:bCs/>
                <w:color w:val="000000"/>
                <w:sz w:val="22"/>
                <w:szCs w:val="22"/>
              </w:rPr>
              <w:t>8</w:t>
            </w:r>
          </w:p>
        </w:tc>
        <w:tc>
          <w:tcPr>
            <w:tcW w:w="1620" w:type="dxa"/>
            <w:hideMark/>
          </w:tcPr>
          <w:p w14:paraId="7D957D90" w14:textId="77777777" w:rsidR="00F542FA" w:rsidRPr="00B015F5" w:rsidRDefault="00F542FA" w:rsidP="0041796C">
            <w:pPr>
              <w:widowControl/>
              <w:jc w:val="center"/>
              <w:rPr>
                <w:bCs/>
                <w:color w:val="000000"/>
                <w:sz w:val="22"/>
                <w:szCs w:val="22"/>
              </w:rPr>
            </w:pPr>
            <w:r w:rsidRPr="00B015F5">
              <w:rPr>
                <w:bCs/>
                <w:color w:val="000000"/>
                <w:sz w:val="22"/>
                <w:szCs w:val="22"/>
              </w:rPr>
              <w:t>6+</w:t>
            </w:r>
          </w:p>
        </w:tc>
        <w:tc>
          <w:tcPr>
            <w:tcW w:w="2880" w:type="dxa"/>
            <w:hideMark/>
          </w:tcPr>
          <w:p w14:paraId="6AFEF44C"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6EF4E299" w14:textId="77777777" w:rsidTr="005C0817">
        <w:trPr>
          <w:trHeight w:val="260"/>
        </w:trPr>
        <w:tc>
          <w:tcPr>
            <w:tcW w:w="1705" w:type="dxa"/>
            <w:hideMark/>
          </w:tcPr>
          <w:p w14:paraId="56DB2D09" w14:textId="5929C6F3"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315BA61C" w14:textId="5FCD8560"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240052F8" w14:textId="77C89C34"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3B7BC2EB" w14:textId="77777777" w:rsidR="00F542FA" w:rsidRPr="00B015F5" w:rsidRDefault="00F542FA" w:rsidP="0041796C">
            <w:pPr>
              <w:widowControl/>
              <w:jc w:val="center"/>
              <w:rPr>
                <w:bCs/>
                <w:color w:val="000000"/>
                <w:sz w:val="22"/>
                <w:szCs w:val="22"/>
              </w:rPr>
            </w:pPr>
            <w:r w:rsidRPr="00B015F5">
              <w:rPr>
                <w:bCs/>
                <w:color w:val="000000"/>
                <w:sz w:val="22"/>
                <w:szCs w:val="22"/>
              </w:rPr>
              <w:t>5</w:t>
            </w:r>
          </w:p>
        </w:tc>
        <w:tc>
          <w:tcPr>
            <w:tcW w:w="2880" w:type="dxa"/>
            <w:hideMark/>
          </w:tcPr>
          <w:p w14:paraId="15F18E83" w14:textId="77777777" w:rsidR="00F542FA" w:rsidRPr="00B015F5" w:rsidRDefault="00F542FA" w:rsidP="0041796C">
            <w:pPr>
              <w:widowControl/>
              <w:jc w:val="center"/>
              <w:rPr>
                <w:bCs/>
                <w:color w:val="000000"/>
                <w:sz w:val="22"/>
                <w:szCs w:val="22"/>
              </w:rPr>
            </w:pPr>
            <w:r w:rsidRPr="00B015F5">
              <w:rPr>
                <w:bCs/>
                <w:color w:val="000000"/>
                <w:sz w:val="22"/>
                <w:szCs w:val="22"/>
              </w:rPr>
              <w:t>87%</w:t>
            </w:r>
          </w:p>
        </w:tc>
      </w:tr>
      <w:tr w:rsidR="00F542FA" w:rsidRPr="00B015F5" w14:paraId="5F0BB2B1" w14:textId="77777777" w:rsidTr="005C0817">
        <w:trPr>
          <w:trHeight w:val="224"/>
        </w:trPr>
        <w:tc>
          <w:tcPr>
            <w:tcW w:w="1705" w:type="dxa"/>
            <w:hideMark/>
          </w:tcPr>
          <w:p w14:paraId="43A5EB76" w14:textId="32C24766"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4F46ECA7" w14:textId="6A829FC5"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6EF193E3" w14:textId="661D790A"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44C367C5" w14:textId="77777777" w:rsidR="00F542FA" w:rsidRPr="00B015F5" w:rsidRDefault="00F542FA" w:rsidP="0041796C">
            <w:pPr>
              <w:widowControl/>
              <w:jc w:val="center"/>
              <w:rPr>
                <w:bCs/>
                <w:color w:val="000000"/>
                <w:sz w:val="22"/>
                <w:szCs w:val="22"/>
              </w:rPr>
            </w:pPr>
            <w:r w:rsidRPr="00B015F5">
              <w:rPr>
                <w:bCs/>
                <w:color w:val="000000"/>
                <w:sz w:val="22"/>
                <w:szCs w:val="22"/>
              </w:rPr>
              <w:t>4</w:t>
            </w:r>
          </w:p>
        </w:tc>
        <w:tc>
          <w:tcPr>
            <w:tcW w:w="2880" w:type="dxa"/>
            <w:hideMark/>
          </w:tcPr>
          <w:p w14:paraId="1770D798" w14:textId="77777777" w:rsidR="00F542FA" w:rsidRPr="00B015F5" w:rsidRDefault="00F542FA" w:rsidP="0041796C">
            <w:pPr>
              <w:widowControl/>
              <w:jc w:val="center"/>
              <w:rPr>
                <w:bCs/>
                <w:color w:val="000000"/>
                <w:sz w:val="22"/>
                <w:szCs w:val="22"/>
              </w:rPr>
            </w:pPr>
            <w:r w:rsidRPr="00B015F5">
              <w:rPr>
                <w:bCs/>
                <w:color w:val="000000"/>
                <w:sz w:val="22"/>
                <w:szCs w:val="22"/>
              </w:rPr>
              <w:t>73%</w:t>
            </w:r>
          </w:p>
        </w:tc>
      </w:tr>
      <w:tr w:rsidR="00F542FA" w:rsidRPr="00B015F5" w14:paraId="0B738226" w14:textId="77777777" w:rsidTr="005C0817">
        <w:trPr>
          <w:trHeight w:val="260"/>
        </w:trPr>
        <w:tc>
          <w:tcPr>
            <w:tcW w:w="1705" w:type="dxa"/>
            <w:hideMark/>
          </w:tcPr>
          <w:p w14:paraId="5ED30D49" w14:textId="6239D5D7"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61B19351" w14:textId="303837FC"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746D768B" w14:textId="13B9621B"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2669B6D2" w14:textId="77777777" w:rsidR="00F542FA" w:rsidRPr="00B015F5" w:rsidRDefault="00F542FA" w:rsidP="0041796C">
            <w:pPr>
              <w:widowControl/>
              <w:jc w:val="center"/>
              <w:rPr>
                <w:bCs/>
                <w:color w:val="000000"/>
                <w:sz w:val="22"/>
                <w:szCs w:val="22"/>
              </w:rPr>
            </w:pPr>
            <w:r w:rsidRPr="00B015F5">
              <w:rPr>
                <w:bCs/>
                <w:color w:val="000000"/>
                <w:sz w:val="22"/>
                <w:szCs w:val="22"/>
              </w:rPr>
              <w:t>&lt;4</w:t>
            </w:r>
          </w:p>
        </w:tc>
        <w:tc>
          <w:tcPr>
            <w:tcW w:w="2880" w:type="dxa"/>
            <w:hideMark/>
          </w:tcPr>
          <w:p w14:paraId="409767BD" w14:textId="77777777" w:rsidR="00F542FA" w:rsidRPr="00B015F5" w:rsidRDefault="00F542FA" w:rsidP="0041796C">
            <w:pPr>
              <w:widowControl/>
              <w:jc w:val="center"/>
              <w:rPr>
                <w:bCs/>
                <w:color w:val="000000"/>
                <w:sz w:val="22"/>
                <w:szCs w:val="22"/>
              </w:rPr>
            </w:pPr>
            <w:r w:rsidRPr="00B015F5">
              <w:rPr>
                <w:bCs/>
                <w:color w:val="000000"/>
                <w:sz w:val="22"/>
                <w:szCs w:val="22"/>
              </w:rPr>
              <w:t>30%</w:t>
            </w:r>
          </w:p>
        </w:tc>
      </w:tr>
      <w:tr w:rsidR="00F542FA" w:rsidRPr="00B015F5" w14:paraId="52E1519D" w14:textId="77777777" w:rsidTr="005C0817">
        <w:trPr>
          <w:trHeight w:val="224"/>
        </w:trPr>
        <w:tc>
          <w:tcPr>
            <w:tcW w:w="1705" w:type="dxa"/>
            <w:hideMark/>
          </w:tcPr>
          <w:p w14:paraId="6954A007" w14:textId="77777777" w:rsidR="00F542FA" w:rsidRPr="00B015F5" w:rsidRDefault="00F542FA" w:rsidP="0041796C">
            <w:pPr>
              <w:widowControl/>
              <w:jc w:val="center"/>
              <w:rPr>
                <w:bCs/>
                <w:color w:val="000000"/>
                <w:sz w:val="22"/>
                <w:szCs w:val="22"/>
              </w:rPr>
            </w:pPr>
            <w:r w:rsidRPr="00B015F5">
              <w:rPr>
                <w:bCs/>
                <w:color w:val="000000"/>
                <w:sz w:val="22"/>
                <w:szCs w:val="22"/>
              </w:rPr>
              <w:t>3</w:t>
            </w:r>
          </w:p>
        </w:tc>
        <w:tc>
          <w:tcPr>
            <w:tcW w:w="1350" w:type="dxa"/>
            <w:hideMark/>
          </w:tcPr>
          <w:p w14:paraId="6E8C1D88"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710" w:type="dxa"/>
            <w:hideMark/>
          </w:tcPr>
          <w:p w14:paraId="1055E751" w14:textId="77777777" w:rsidR="00F542FA" w:rsidRPr="00B015F5" w:rsidRDefault="00F542FA" w:rsidP="0041796C">
            <w:pPr>
              <w:widowControl/>
              <w:jc w:val="center"/>
              <w:rPr>
                <w:bCs/>
                <w:color w:val="000000"/>
                <w:sz w:val="22"/>
                <w:szCs w:val="22"/>
              </w:rPr>
            </w:pPr>
            <w:r w:rsidRPr="00B015F5">
              <w:rPr>
                <w:bCs/>
                <w:color w:val="000000"/>
                <w:sz w:val="22"/>
                <w:szCs w:val="22"/>
              </w:rPr>
              <w:t>10</w:t>
            </w:r>
          </w:p>
        </w:tc>
        <w:tc>
          <w:tcPr>
            <w:tcW w:w="1620" w:type="dxa"/>
            <w:hideMark/>
          </w:tcPr>
          <w:p w14:paraId="4A97BA1C" w14:textId="77777777" w:rsidR="00F542FA" w:rsidRPr="00B015F5" w:rsidRDefault="00F542FA" w:rsidP="0041796C">
            <w:pPr>
              <w:widowControl/>
              <w:jc w:val="center"/>
              <w:rPr>
                <w:bCs/>
                <w:color w:val="000000"/>
                <w:sz w:val="22"/>
                <w:szCs w:val="22"/>
              </w:rPr>
            </w:pPr>
            <w:r w:rsidRPr="00B015F5">
              <w:rPr>
                <w:bCs/>
                <w:color w:val="000000"/>
                <w:sz w:val="22"/>
                <w:szCs w:val="22"/>
              </w:rPr>
              <w:t>8+</w:t>
            </w:r>
          </w:p>
        </w:tc>
        <w:tc>
          <w:tcPr>
            <w:tcW w:w="2880" w:type="dxa"/>
            <w:hideMark/>
          </w:tcPr>
          <w:p w14:paraId="39CB9A0A"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5FA843BA" w14:textId="77777777" w:rsidTr="005C0817">
        <w:trPr>
          <w:trHeight w:val="260"/>
        </w:trPr>
        <w:tc>
          <w:tcPr>
            <w:tcW w:w="1705" w:type="dxa"/>
            <w:hideMark/>
          </w:tcPr>
          <w:p w14:paraId="2904E807" w14:textId="49F567BF"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3C460EEA" w14:textId="5D70F083"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66B6ED97" w14:textId="3417C251"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2C597BE" w14:textId="77777777" w:rsidR="00F542FA" w:rsidRPr="00B015F5" w:rsidRDefault="00F542FA" w:rsidP="0041796C">
            <w:pPr>
              <w:widowControl/>
              <w:jc w:val="center"/>
              <w:rPr>
                <w:bCs/>
                <w:color w:val="000000"/>
                <w:sz w:val="22"/>
                <w:szCs w:val="22"/>
              </w:rPr>
            </w:pPr>
            <w:r w:rsidRPr="00B015F5">
              <w:rPr>
                <w:bCs/>
                <w:color w:val="000000"/>
                <w:sz w:val="22"/>
                <w:szCs w:val="22"/>
              </w:rPr>
              <w:t>7</w:t>
            </w:r>
          </w:p>
        </w:tc>
        <w:tc>
          <w:tcPr>
            <w:tcW w:w="2880" w:type="dxa"/>
            <w:hideMark/>
          </w:tcPr>
          <w:p w14:paraId="415B1E5A" w14:textId="77777777" w:rsidR="00F542FA" w:rsidRPr="00B015F5" w:rsidRDefault="00F542FA" w:rsidP="0041796C">
            <w:pPr>
              <w:widowControl/>
              <w:jc w:val="center"/>
              <w:rPr>
                <w:bCs/>
                <w:color w:val="000000"/>
                <w:sz w:val="22"/>
                <w:szCs w:val="22"/>
              </w:rPr>
            </w:pPr>
            <w:r w:rsidRPr="00B015F5">
              <w:rPr>
                <w:bCs/>
                <w:color w:val="000000"/>
                <w:sz w:val="22"/>
                <w:szCs w:val="22"/>
              </w:rPr>
              <w:t>93%</w:t>
            </w:r>
          </w:p>
        </w:tc>
      </w:tr>
      <w:tr w:rsidR="00F542FA" w:rsidRPr="00B015F5" w14:paraId="7B655073" w14:textId="77777777" w:rsidTr="005C0817">
        <w:trPr>
          <w:trHeight w:val="242"/>
        </w:trPr>
        <w:tc>
          <w:tcPr>
            <w:tcW w:w="1705" w:type="dxa"/>
            <w:hideMark/>
          </w:tcPr>
          <w:p w14:paraId="553B1906" w14:textId="6699DE3B"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573BEEF1" w14:textId="50C7AA87"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314A85BE" w14:textId="0E866D14"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2F99CF9" w14:textId="77777777" w:rsidR="00F542FA" w:rsidRPr="00B015F5" w:rsidRDefault="00F542FA" w:rsidP="0041796C">
            <w:pPr>
              <w:widowControl/>
              <w:jc w:val="center"/>
              <w:rPr>
                <w:bCs/>
                <w:color w:val="000000"/>
                <w:sz w:val="22"/>
                <w:szCs w:val="22"/>
              </w:rPr>
            </w:pPr>
            <w:r w:rsidRPr="00B015F5">
              <w:rPr>
                <w:bCs/>
                <w:color w:val="000000"/>
                <w:sz w:val="22"/>
                <w:szCs w:val="22"/>
              </w:rPr>
              <w:t>6</w:t>
            </w:r>
          </w:p>
        </w:tc>
        <w:tc>
          <w:tcPr>
            <w:tcW w:w="2880" w:type="dxa"/>
            <w:hideMark/>
          </w:tcPr>
          <w:p w14:paraId="0D07B2DC" w14:textId="77777777" w:rsidR="00F542FA" w:rsidRPr="00B015F5" w:rsidRDefault="00F542FA" w:rsidP="0041796C">
            <w:pPr>
              <w:widowControl/>
              <w:jc w:val="center"/>
              <w:rPr>
                <w:bCs/>
                <w:color w:val="000000"/>
                <w:sz w:val="22"/>
                <w:szCs w:val="22"/>
              </w:rPr>
            </w:pPr>
            <w:r w:rsidRPr="00B015F5">
              <w:rPr>
                <w:bCs/>
                <w:color w:val="000000"/>
                <w:sz w:val="22"/>
                <w:szCs w:val="22"/>
              </w:rPr>
              <w:t>82%</w:t>
            </w:r>
          </w:p>
        </w:tc>
      </w:tr>
      <w:tr w:rsidR="005412E1" w:rsidRPr="00B015F5" w14:paraId="7C0C0536" w14:textId="77777777" w:rsidTr="005C0817">
        <w:trPr>
          <w:trHeight w:val="197"/>
        </w:trPr>
        <w:tc>
          <w:tcPr>
            <w:tcW w:w="1705" w:type="dxa"/>
            <w:hideMark/>
          </w:tcPr>
          <w:p w14:paraId="78CC4442" w14:textId="37EF6117" w:rsidR="005412E1"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4F639B2D" w14:textId="16E5EE30" w:rsidR="005412E1"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3B44E949" w14:textId="56134EF6" w:rsidR="005412E1"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5DB66A7D" w14:textId="77777777" w:rsidR="005412E1" w:rsidRPr="00B015F5" w:rsidRDefault="005412E1" w:rsidP="0041796C">
            <w:pPr>
              <w:widowControl/>
              <w:jc w:val="center"/>
              <w:rPr>
                <w:bCs/>
                <w:color w:val="000000"/>
                <w:sz w:val="22"/>
                <w:szCs w:val="22"/>
              </w:rPr>
            </w:pPr>
            <w:r w:rsidRPr="00B015F5">
              <w:rPr>
                <w:bCs/>
                <w:color w:val="000000"/>
                <w:sz w:val="22"/>
                <w:szCs w:val="22"/>
              </w:rPr>
              <w:t>5</w:t>
            </w:r>
          </w:p>
        </w:tc>
        <w:tc>
          <w:tcPr>
            <w:tcW w:w="2880" w:type="dxa"/>
            <w:hideMark/>
          </w:tcPr>
          <w:p w14:paraId="3A201680" w14:textId="77777777" w:rsidR="005412E1" w:rsidRPr="00B015F5" w:rsidRDefault="005412E1" w:rsidP="0041796C">
            <w:pPr>
              <w:widowControl/>
              <w:jc w:val="center"/>
              <w:rPr>
                <w:bCs/>
                <w:color w:val="000000"/>
                <w:sz w:val="22"/>
                <w:szCs w:val="22"/>
              </w:rPr>
            </w:pPr>
            <w:r w:rsidRPr="00B015F5">
              <w:rPr>
                <w:bCs/>
                <w:color w:val="000000"/>
                <w:sz w:val="22"/>
                <w:szCs w:val="22"/>
              </w:rPr>
              <w:t>71%</w:t>
            </w:r>
          </w:p>
        </w:tc>
      </w:tr>
      <w:tr w:rsidR="00F542FA" w:rsidRPr="00B015F5" w14:paraId="010F3C00" w14:textId="77777777" w:rsidTr="005C0817">
        <w:trPr>
          <w:trHeight w:val="260"/>
        </w:trPr>
        <w:tc>
          <w:tcPr>
            <w:tcW w:w="1705" w:type="dxa"/>
            <w:hideMark/>
          </w:tcPr>
          <w:p w14:paraId="7430EB37" w14:textId="756C7928"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13BC8DE7" w14:textId="0DEF658E"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439C8034" w14:textId="3DC92422"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65EF27F3" w14:textId="6C9E8373" w:rsidR="00F542FA" w:rsidRPr="00B015F5" w:rsidRDefault="00F542FA" w:rsidP="0041796C">
            <w:pPr>
              <w:widowControl/>
              <w:jc w:val="center"/>
              <w:rPr>
                <w:bCs/>
                <w:color w:val="000000"/>
                <w:sz w:val="22"/>
                <w:szCs w:val="22"/>
              </w:rPr>
            </w:pPr>
            <w:r w:rsidRPr="00B015F5">
              <w:rPr>
                <w:bCs/>
                <w:color w:val="000000"/>
                <w:sz w:val="22"/>
                <w:szCs w:val="22"/>
              </w:rPr>
              <w:t>&lt;</w:t>
            </w:r>
            <w:r w:rsidR="00C23B70">
              <w:rPr>
                <w:bCs/>
                <w:color w:val="000000"/>
                <w:sz w:val="22"/>
                <w:szCs w:val="22"/>
              </w:rPr>
              <w:t>5</w:t>
            </w:r>
          </w:p>
        </w:tc>
        <w:tc>
          <w:tcPr>
            <w:tcW w:w="2880" w:type="dxa"/>
            <w:hideMark/>
          </w:tcPr>
          <w:p w14:paraId="22DC860C" w14:textId="77777777" w:rsidR="00F542FA" w:rsidRPr="00B015F5" w:rsidRDefault="00F542FA" w:rsidP="0041796C">
            <w:pPr>
              <w:widowControl/>
              <w:jc w:val="center"/>
              <w:rPr>
                <w:bCs/>
                <w:color w:val="000000"/>
                <w:sz w:val="22"/>
                <w:szCs w:val="22"/>
              </w:rPr>
            </w:pPr>
            <w:r w:rsidRPr="00B015F5">
              <w:rPr>
                <w:bCs/>
                <w:color w:val="000000"/>
                <w:sz w:val="22"/>
                <w:szCs w:val="22"/>
              </w:rPr>
              <w:t>0%</w:t>
            </w:r>
          </w:p>
        </w:tc>
      </w:tr>
      <w:tr w:rsidR="00A926D0" w:rsidRPr="00B015F5" w14:paraId="4AAB0E3B" w14:textId="77777777" w:rsidTr="005C0817">
        <w:trPr>
          <w:trHeight w:val="170"/>
        </w:trPr>
        <w:tc>
          <w:tcPr>
            <w:tcW w:w="1705" w:type="dxa"/>
            <w:hideMark/>
          </w:tcPr>
          <w:p w14:paraId="407D83F9" w14:textId="77777777" w:rsidR="00A926D0" w:rsidRPr="00B015F5" w:rsidRDefault="00A926D0" w:rsidP="0041796C">
            <w:pPr>
              <w:widowControl/>
              <w:jc w:val="center"/>
              <w:rPr>
                <w:bCs/>
                <w:color w:val="000000"/>
                <w:sz w:val="22"/>
                <w:szCs w:val="22"/>
              </w:rPr>
            </w:pPr>
            <w:r w:rsidRPr="00B015F5">
              <w:rPr>
                <w:bCs/>
                <w:color w:val="000000"/>
                <w:sz w:val="22"/>
                <w:szCs w:val="22"/>
              </w:rPr>
              <w:t>4</w:t>
            </w:r>
          </w:p>
        </w:tc>
        <w:tc>
          <w:tcPr>
            <w:tcW w:w="1350" w:type="dxa"/>
            <w:hideMark/>
          </w:tcPr>
          <w:p w14:paraId="2A3CB53C" w14:textId="77777777" w:rsidR="00A926D0" w:rsidRPr="00B015F5" w:rsidRDefault="00A926D0" w:rsidP="0041796C">
            <w:pPr>
              <w:widowControl/>
              <w:jc w:val="center"/>
              <w:rPr>
                <w:bCs/>
                <w:color w:val="000000"/>
                <w:sz w:val="22"/>
                <w:szCs w:val="22"/>
              </w:rPr>
            </w:pPr>
            <w:r w:rsidRPr="00B015F5">
              <w:rPr>
                <w:bCs/>
                <w:color w:val="000000"/>
                <w:sz w:val="22"/>
                <w:szCs w:val="22"/>
              </w:rPr>
              <w:t>2</w:t>
            </w:r>
          </w:p>
        </w:tc>
        <w:tc>
          <w:tcPr>
            <w:tcW w:w="1710" w:type="dxa"/>
            <w:hideMark/>
          </w:tcPr>
          <w:p w14:paraId="76019290" w14:textId="77777777" w:rsidR="00A926D0" w:rsidRPr="00B015F5" w:rsidRDefault="00A926D0" w:rsidP="0041796C">
            <w:pPr>
              <w:widowControl/>
              <w:jc w:val="center"/>
              <w:rPr>
                <w:bCs/>
                <w:color w:val="000000"/>
                <w:sz w:val="22"/>
                <w:szCs w:val="22"/>
              </w:rPr>
            </w:pPr>
            <w:r w:rsidRPr="00B015F5">
              <w:rPr>
                <w:bCs/>
                <w:color w:val="000000"/>
                <w:sz w:val="22"/>
                <w:szCs w:val="22"/>
              </w:rPr>
              <w:t>10</w:t>
            </w:r>
          </w:p>
        </w:tc>
        <w:tc>
          <w:tcPr>
            <w:tcW w:w="1620" w:type="dxa"/>
            <w:hideMark/>
          </w:tcPr>
          <w:p w14:paraId="3560A15D" w14:textId="77777777" w:rsidR="00A926D0" w:rsidRPr="00B015F5" w:rsidRDefault="00A926D0" w:rsidP="0041796C">
            <w:pPr>
              <w:widowControl/>
              <w:jc w:val="center"/>
              <w:rPr>
                <w:bCs/>
                <w:color w:val="000000"/>
                <w:sz w:val="22"/>
                <w:szCs w:val="22"/>
              </w:rPr>
            </w:pPr>
            <w:r w:rsidRPr="00B015F5">
              <w:rPr>
                <w:bCs/>
                <w:color w:val="000000"/>
                <w:sz w:val="22"/>
                <w:szCs w:val="22"/>
              </w:rPr>
              <w:t>8+</w:t>
            </w:r>
          </w:p>
        </w:tc>
        <w:tc>
          <w:tcPr>
            <w:tcW w:w="2880" w:type="dxa"/>
            <w:hideMark/>
          </w:tcPr>
          <w:p w14:paraId="571B3AC9" w14:textId="77777777" w:rsidR="00A926D0" w:rsidRPr="00B015F5" w:rsidRDefault="00A926D0" w:rsidP="0041796C">
            <w:pPr>
              <w:widowControl/>
              <w:jc w:val="center"/>
              <w:rPr>
                <w:bCs/>
                <w:color w:val="000000"/>
                <w:sz w:val="22"/>
                <w:szCs w:val="22"/>
              </w:rPr>
            </w:pPr>
            <w:r w:rsidRPr="00B015F5">
              <w:rPr>
                <w:bCs/>
                <w:color w:val="000000"/>
                <w:sz w:val="22"/>
                <w:szCs w:val="22"/>
              </w:rPr>
              <w:t>100%</w:t>
            </w:r>
          </w:p>
        </w:tc>
      </w:tr>
      <w:tr w:rsidR="00A926D0" w:rsidRPr="00B015F5" w14:paraId="064B9EC2" w14:textId="77777777" w:rsidTr="005C0817">
        <w:trPr>
          <w:trHeight w:val="260"/>
        </w:trPr>
        <w:tc>
          <w:tcPr>
            <w:tcW w:w="1705" w:type="dxa"/>
            <w:hideMark/>
          </w:tcPr>
          <w:p w14:paraId="1F4DC5C7" w14:textId="687C145A"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05A91CB1" w14:textId="2F77D442"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43BE6B06" w14:textId="73500636"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7B1C8BE9" w14:textId="77777777" w:rsidR="00A926D0" w:rsidRPr="00B015F5" w:rsidRDefault="00A926D0" w:rsidP="0041796C">
            <w:pPr>
              <w:widowControl/>
              <w:jc w:val="center"/>
              <w:rPr>
                <w:bCs/>
                <w:color w:val="000000"/>
                <w:sz w:val="22"/>
                <w:szCs w:val="22"/>
              </w:rPr>
            </w:pPr>
            <w:r w:rsidRPr="00B015F5">
              <w:rPr>
                <w:bCs/>
                <w:color w:val="000000"/>
                <w:sz w:val="22"/>
                <w:szCs w:val="22"/>
              </w:rPr>
              <w:t>7</w:t>
            </w:r>
          </w:p>
        </w:tc>
        <w:tc>
          <w:tcPr>
            <w:tcW w:w="2880" w:type="dxa"/>
            <w:hideMark/>
          </w:tcPr>
          <w:p w14:paraId="11305578" w14:textId="77777777" w:rsidR="00A926D0" w:rsidRPr="00B015F5" w:rsidRDefault="00A926D0" w:rsidP="0041796C">
            <w:pPr>
              <w:widowControl/>
              <w:jc w:val="center"/>
              <w:rPr>
                <w:bCs/>
                <w:color w:val="000000"/>
                <w:sz w:val="22"/>
                <w:szCs w:val="22"/>
              </w:rPr>
            </w:pPr>
            <w:r w:rsidRPr="00B015F5">
              <w:rPr>
                <w:bCs/>
                <w:color w:val="000000"/>
                <w:sz w:val="22"/>
                <w:szCs w:val="22"/>
              </w:rPr>
              <w:t>93%</w:t>
            </w:r>
          </w:p>
        </w:tc>
      </w:tr>
      <w:tr w:rsidR="00A926D0" w:rsidRPr="00B015F5" w14:paraId="1B7FD86E" w14:textId="77777777" w:rsidTr="005C0817">
        <w:trPr>
          <w:trHeight w:val="260"/>
        </w:trPr>
        <w:tc>
          <w:tcPr>
            <w:tcW w:w="1705" w:type="dxa"/>
            <w:hideMark/>
          </w:tcPr>
          <w:p w14:paraId="1E163ADE" w14:textId="7B259F07"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55DD0793" w14:textId="2316C557"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1B7883B2" w14:textId="600B2BAB"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79610FB7" w14:textId="77777777" w:rsidR="00A926D0" w:rsidRPr="00B015F5" w:rsidRDefault="00A926D0" w:rsidP="0041796C">
            <w:pPr>
              <w:widowControl/>
              <w:jc w:val="center"/>
              <w:rPr>
                <w:bCs/>
                <w:color w:val="000000"/>
                <w:sz w:val="22"/>
                <w:szCs w:val="22"/>
              </w:rPr>
            </w:pPr>
            <w:r w:rsidRPr="00B015F5">
              <w:rPr>
                <w:bCs/>
                <w:color w:val="000000"/>
                <w:sz w:val="22"/>
                <w:szCs w:val="22"/>
              </w:rPr>
              <w:t>6</w:t>
            </w:r>
          </w:p>
        </w:tc>
        <w:tc>
          <w:tcPr>
            <w:tcW w:w="2880" w:type="dxa"/>
            <w:hideMark/>
          </w:tcPr>
          <w:p w14:paraId="1BA4C755" w14:textId="77777777" w:rsidR="00A926D0" w:rsidRPr="00B015F5" w:rsidRDefault="00A926D0" w:rsidP="0041796C">
            <w:pPr>
              <w:widowControl/>
              <w:jc w:val="center"/>
              <w:rPr>
                <w:bCs/>
                <w:color w:val="000000"/>
                <w:sz w:val="22"/>
                <w:szCs w:val="22"/>
              </w:rPr>
            </w:pPr>
            <w:r w:rsidRPr="00B015F5">
              <w:rPr>
                <w:bCs/>
                <w:color w:val="000000"/>
                <w:sz w:val="22"/>
                <w:szCs w:val="22"/>
              </w:rPr>
              <w:t>82%</w:t>
            </w:r>
          </w:p>
        </w:tc>
      </w:tr>
      <w:tr w:rsidR="00A926D0" w:rsidRPr="00B015F5" w14:paraId="09408011" w14:textId="77777777" w:rsidTr="005C0817">
        <w:trPr>
          <w:trHeight w:val="170"/>
        </w:trPr>
        <w:tc>
          <w:tcPr>
            <w:tcW w:w="1705" w:type="dxa"/>
            <w:hideMark/>
          </w:tcPr>
          <w:p w14:paraId="129EB18E" w14:textId="6D52C3AE"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6D0E53E6" w14:textId="3B9D5A85"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59B58B0D" w14:textId="2797283F"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24A44C2A"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2880" w:type="dxa"/>
            <w:hideMark/>
          </w:tcPr>
          <w:p w14:paraId="4E0AA3F3" w14:textId="77777777" w:rsidR="00A926D0" w:rsidRPr="00B015F5" w:rsidRDefault="00A926D0" w:rsidP="0041796C">
            <w:pPr>
              <w:widowControl/>
              <w:jc w:val="center"/>
              <w:rPr>
                <w:bCs/>
                <w:color w:val="000000"/>
                <w:sz w:val="22"/>
                <w:szCs w:val="22"/>
              </w:rPr>
            </w:pPr>
            <w:r w:rsidRPr="00B015F5">
              <w:rPr>
                <w:bCs/>
                <w:color w:val="000000"/>
                <w:sz w:val="22"/>
                <w:szCs w:val="22"/>
              </w:rPr>
              <w:t>71%</w:t>
            </w:r>
          </w:p>
        </w:tc>
      </w:tr>
      <w:tr w:rsidR="00A926D0" w:rsidRPr="00B015F5" w14:paraId="1116F85F" w14:textId="77777777" w:rsidTr="005C0817">
        <w:trPr>
          <w:trHeight w:val="260"/>
        </w:trPr>
        <w:tc>
          <w:tcPr>
            <w:tcW w:w="1705" w:type="dxa"/>
            <w:hideMark/>
          </w:tcPr>
          <w:p w14:paraId="0A7DB70A" w14:textId="1B29D908"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13E3AA37" w14:textId="1EA677D6"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2005C092" w14:textId="6CEFCCA7"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7B96A8C" w14:textId="77777777" w:rsidR="00A926D0" w:rsidRPr="00B015F5" w:rsidRDefault="00A926D0" w:rsidP="0041796C">
            <w:pPr>
              <w:widowControl/>
              <w:jc w:val="center"/>
              <w:rPr>
                <w:bCs/>
                <w:color w:val="000000"/>
                <w:sz w:val="22"/>
                <w:szCs w:val="22"/>
              </w:rPr>
            </w:pPr>
            <w:r w:rsidRPr="00B015F5">
              <w:rPr>
                <w:bCs/>
                <w:color w:val="000000"/>
                <w:sz w:val="22"/>
                <w:szCs w:val="22"/>
              </w:rPr>
              <w:t>&lt;5</w:t>
            </w:r>
          </w:p>
        </w:tc>
        <w:tc>
          <w:tcPr>
            <w:tcW w:w="2880" w:type="dxa"/>
            <w:hideMark/>
          </w:tcPr>
          <w:p w14:paraId="3F39379B" w14:textId="77777777" w:rsidR="00A926D0" w:rsidRPr="00B015F5" w:rsidRDefault="00A926D0" w:rsidP="0041796C">
            <w:pPr>
              <w:widowControl/>
              <w:jc w:val="center"/>
              <w:rPr>
                <w:bCs/>
                <w:color w:val="000000"/>
                <w:sz w:val="22"/>
                <w:szCs w:val="22"/>
              </w:rPr>
            </w:pPr>
            <w:r w:rsidRPr="00B015F5">
              <w:rPr>
                <w:bCs/>
                <w:color w:val="000000"/>
                <w:sz w:val="22"/>
                <w:szCs w:val="22"/>
              </w:rPr>
              <w:t>0%</w:t>
            </w:r>
          </w:p>
        </w:tc>
      </w:tr>
      <w:tr w:rsidR="00A926D0" w:rsidRPr="00B015F5" w14:paraId="117C3401" w14:textId="77777777" w:rsidTr="005C0817">
        <w:trPr>
          <w:trHeight w:val="260"/>
        </w:trPr>
        <w:tc>
          <w:tcPr>
            <w:tcW w:w="1705" w:type="dxa"/>
            <w:hideMark/>
          </w:tcPr>
          <w:p w14:paraId="39431DCB"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1350" w:type="dxa"/>
            <w:hideMark/>
          </w:tcPr>
          <w:p w14:paraId="5EDAC0F2" w14:textId="77777777" w:rsidR="00A926D0" w:rsidRPr="00B015F5" w:rsidRDefault="00A926D0" w:rsidP="0041796C">
            <w:pPr>
              <w:widowControl/>
              <w:jc w:val="center"/>
              <w:rPr>
                <w:bCs/>
                <w:color w:val="000000"/>
                <w:sz w:val="22"/>
                <w:szCs w:val="22"/>
              </w:rPr>
            </w:pPr>
            <w:r w:rsidRPr="00B015F5">
              <w:rPr>
                <w:bCs/>
                <w:color w:val="000000"/>
                <w:sz w:val="22"/>
                <w:szCs w:val="22"/>
              </w:rPr>
              <w:t>4</w:t>
            </w:r>
          </w:p>
        </w:tc>
        <w:tc>
          <w:tcPr>
            <w:tcW w:w="1710" w:type="dxa"/>
            <w:hideMark/>
          </w:tcPr>
          <w:p w14:paraId="0928F9B4" w14:textId="77777777" w:rsidR="00A926D0" w:rsidRPr="00B015F5" w:rsidRDefault="00A926D0" w:rsidP="0041796C">
            <w:pPr>
              <w:widowControl/>
              <w:jc w:val="center"/>
              <w:rPr>
                <w:bCs/>
                <w:color w:val="000000"/>
                <w:sz w:val="22"/>
                <w:szCs w:val="22"/>
              </w:rPr>
            </w:pPr>
            <w:r w:rsidRPr="00B015F5">
              <w:rPr>
                <w:bCs/>
                <w:color w:val="000000"/>
                <w:sz w:val="22"/>
                <w:szCs w:val="22"/>
              </w:rPr>
              <w:t>9</w:t>
            </w:r>
          </w:p>
        </w:tc>
        <w:tc>
          <w:tcPr>
            <w:tcW w:w="1620" w:type="dxa"/>
            <w:hideMark/>
          </w:tcPr>
          <w:p w14:paraId="0400368D" w14:textId="77777777" w:rsidR="00A926D0" w:rsidRPr="00B015F5" w:rsidRDefault="00A926D0" w:rsidP="0041796C">
            <w:pPr>
              <w:widowControl/>
              <w:jc w:val="center"/>
              <w:rPr>
                <w:bCs/>
                <w:color w:val="000000"/>
                <w:sz w:val="22"/>
                <w:szCs w:val="22"/>
              </w:rPr>
            </w:pPr>
            <w:r w:rsidRPr="00B015F5">
              <w:rPr>
                <w:bCs/>
                <w:color w:val="000000"/>
                <w:sz w:val="22"/>
                <w:szCs w:val="22"/>
              </w:rPr>
              <w:t>7+</w:t>
            </w:r>
          </w:p>
        </w:tc>
        <w:tc>
          <w:tcPr>
            <w:tcW w:w="2880" w:type="dxa"/>
            <w:hideMark/>
          </w:tcPr>
          <w:p w14:paraId="17396FA1" w14:textId="77777777" w:rsidR="00A926D0" w:rsidRPr="00B015F5" w:rsidRDefault="00A926D0" w:rsidP="0041796C">
            <w:pPr>
              <w:widowControl/>
              <w:jc w:val="center"/>
              <w:rPr>
                <w:bCs/>
                <w:color w:val="000000"/>
                <w:sz w:val="22"/>
                <w:szCs w:val="22"/>
              </w:rPr>
            </w:pPr>
            <w:r w:rsidRPr="00B015F5">
              <w:rPr>
                <w:bCs/>
                <w:color w:val="000000"/>
                <w:sz w:val="22"/>
                <w:szCs w:val="22"/>
              </w:rPr>
              <w:t>100%</w:t>
            </w:r>
          </w:p>
        </w:tc>
      </w:tr>
      <w:tr w:rsidR="00A926D0" w:rsidRPr="00B015F5" w14:paraId="7B09213D" w14:textId="77777777" w:rsidTr="005C0817">
        <w:trPr>
          <w:trHeight w:val="179"/>
        </w:trPr>
        <w:tc>
          <w:tcPr>
            <w:tcW w:w="1705" w:type="dxa"/>
            <w:hideMark/>
          </w:tcPr>
          <w:p w14:paraId="64E3CCE6" w14:textId="4B133C33"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123878C9" w14:textId="0F5588C4"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1B7E79B5" w14:textId="53083284"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5E0FE18E" w14:textId="77777777" w:rsidR="00A926D0" w:rsidRPr="00B015F5" w:rsidRDefault="00A926D0" w:rsidP="0041796C">
            <w:pPr>
              <w:widowControl/>
              <w:jc w:val="center"/>
              <w:rPr>
                <w:bCs/>
                <w:color w:val="000000"/>
                <w:sz w:val="22"/>
                <w:szCs w:val="22"/>
              </w:rPr>
            </w:pPr>
            <w:r w:rsidRPr="00B015F5">
              <w:rPr>
                <w:bCs/>
                <w:color w:val="000000"/>
                <w:sz w:val="22"/>
                <w:szCs w:val="22"/>
              </w:rPr>
              <w:t>6</w:t>
            </w:r>
          </w:p>
        </w:tc>
        <w:tc>
          <w:tcPr>
            <w:tcW w:w="2880" w:type="dxa"/>
            <w:hideMark/>
          </w:tcPr>
          <w:p w14:paraId="224CE565" w14:textId="77777777" w:rsidR="00A926D0" w:rsidRPr="00B015F5" w:rsidRDefault="00A926D0" w:rsidP="0041796C">
            <w:pPr>
              <w:widowControl/>
              <w:jc w:val="center"/>
              <w:rPr>
                <w:bCs/>
                <w:color w:val="000000"/>
                <w:sz w:val="22"/>
                <w:szCs w:val="22"/>
              </w:rPr>
            </w:pPr>
            <w:r w:rsidRPr="00B015F5">
              <w:rPr>
                <w:bCs/>
                <w:color w:val="000000"/>
                <w:sz w:val="22"/>
                <w:szCs w:val="22"/>
              </w:rPr>
              <w:t>96%</w:t>
            </w:r>
          </w:p>
        </w:tc>
      </w:tr>
      <w:tr w:rsidR="00A926D0" w:rsidRPr="00B015F5" w14:paraId="60558FEF" w14:textId="77777777" w:rsidTr="005C0817">
        <w:trPr>
          <w:trHeight w:val="260"/>
        </w:trPr>
        <w:tc>
          <w:tcPr>
            <w:tcW w:w="1705" w:type="dxa"/>
            <w:hideMark/>
          </w:tcPr>
          <w:p w14:paraId="284D214A" w14:textId="3BF94DD0"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3202DEBD" w14:textId="5F6C8A6A"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3327BDBF" w14:textId="7C86E38B"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16A70DFF"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2880" w:type="dxa"/>
            <w:hideMark/>
          </w:tcPr>
          <w:p w14:paraId="21D0BFAA" w14:textId="77777777" w:rsidR="00A926D0" w:rsidRPr="00B015F5" w:rsidRDefault="00A926D0" w:rsidP="0041796C">
            <w:pPr>
              <w:widowControl/>
              <w:jc w:val="center"/>
              <w:rPr>
                <w:bCs/>
                <w:color w:val="000000"/>
                <w:sz w:val="22"/>
                <w:szCs w:val="22"/>
              </w:rPr>
            </w:pPr>
            <w:r w:rsidRPr="00B015F5">
              <w:rPr>
                <w:bCs/>
                <w:color w:val="000000"/>
                <w:sz w:val="22"/>
                <w:szCs w:val="22"/>
              </w:rPr>
              <w:t>86%</w:t>
            </w:r>
          </w:p>
        </w:tc>
      </w:tr>
      <w:tr w:rsidR="00A926D0" w:rsidRPr="00B015F5" w14:paraId="6C37DD7C" w14:textId="77777777" w:rsidTr="005C0817">
        <w:trPr>
          <w:trHeight w:val="269"/>
        </w:trPr>
        <w:tc>
          <w:tcPr>
            <w:tcW w:w="1705" w:type="dxa"/>
            <w:hideMark/>
          </w:tcPr>
          <w:p w14:paraId="4D7F9FFC" w14:textId="662B03DF"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3429706C" w14:textId="6206DBB9"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34CAABF6" w14:textId="5DD4336C"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5E33D634" w14:textId="77777777" w:rsidR="00A926D0" w:rsidRPr="00B015F5" w:rsidRDefault="00A926D0" w:rsidP="0041796C">
            <w:pPr>
              <w:widowControl/>
              <w:jc w:val="center"/>
              <w:rPr>
                <w:bCs/>
                <w:color w:val="000000"/>
                <w:sz w:val="22"/>
                <w:szCs w:val="22"/>
              </w:rPr>
            </w:pPr>
            <w:r w:rsidRPr="00B015F5">
              <w:rPr>
                <w:bCs/>
                <w:color w:val="000000"/>
                <w:sz w:val="22"/>
                <w:szCs w:val="22"/>
              </w:rPr>
              <w:t>&lt;5</w:t>
            </w:r>
          </w:p>
        </w:tc>
        <w:tc>
          <w:tcPr>
            <w:tcW w:w="2880" w:type="dxa"/>
            <w:hideMark/>
          </w:tcPr>
          <w:p w14:paraId="05AD80EE" w14:textId="77777777" w:rsidR="00A926D0" w:rsidRPr="00B015F5" w:rsidRDefault="00A926D0" w:rsidP="0041796C">
            <w:pPr>
              <w:widowControl/>
              <w:jc w:val="center"/>
              <w:rPr>
                <w:bCs/>
                <w:color w:val="000000"/>
                <w:sz w:val="22"/>
                <w:szCs w:val="22"/>
              </w:rPr>
            </w:pPr>
            <w:r w:rsidRPr="00B015F5">
              <w:rPr>
                <w:bCs/>
                <w:color w:val="000000"/>
                <w:sz w:val="22"/>
                <w:szCs w:val="22"/>
              </w:rPr>
              <w:t>0%</w:t>
            </w:r>
          </w:p>
        </w:tc>
      </w:tr>
    </w:tbl>
    <w:p w14:paraId="73DD1F6C" w14:textId="77777777" w:rsidR="005412E1" w:rsidRPr="00B015F5" w:rsidRDefault="005412E1" w:rsidP="005412E1">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*Note: Table 3 assumes all measures are completely and accurately reported.</w:t>
      </w:r>
    </w:p>
    <w:p w14:paraId="2388408E" w14:textId="75CBF049" w:rsidR="0031136C" w:rsidRPr="005C0817" w:rsidRDefault="00A926D0" w:rsidP="00343B91">
      <w:pPr>
        <w:pStyle w:val="ListParagraph"/>
        <w:numPr>
          <w:ilvl w:val="0"/>
          <w:numId w:val="49"/>
        </w:numPr>
        <w:rPr>
          <w:b/>
        </w:rPr>
      </w:pPr>
      <w:r w:rsidRPr="005C0817">
        <w:rPr>
          <w:b/>
        </w:rPr>
        <w:t>Region 2</w:t>
      </w:r>
      <w:r w:rsidR="003A5859">
        <w:rPr>
          <w:b/>
        </w:rPr>
        <w:t xml:space="preserve"> – Demonstration Years 4 </w:t>
      </w:r>
      <w:r w:rsidR="009019F1">
        <w:rPr>
          <w:b/>
        </w:rPr>
        <w:t>and</w:t>
      </w:r>
      <w:r w:rsidR="003A5859">
        <w:rPr>
          <w:b/>
        </w:rPr>
        <w:t xml:space="preserve"> </w:t>
      </w:r>
      <w:r w:rsidR="000C5CF8">
        <w:rPr>
          <w:b/>
        </w:rPr>
        <w:t>5</w:t>
      </w:r>
    </w:p>
    <w:p w14:paraId="3D215F67" w14:textId="62A397E7" w:rsidR="0031136C" w:rsidRPr="00B015F5" w:rsidRDefault="00A926D0" w:rsidP="00424D34">
      <w:pPr>
        <w:pStyle w:val="ListParagraph"/>
        <w:numPr>
          <w:ilvl w:val="1"/>
          <w:numId w:val="49"/>
        </w:numPr>
        <w:ind w:left="1530" w:hanging="1170"/>
      </w:pPr>
      <w:r w:rsidRPr="00B015F5">
        <w:rPr>
          <w:color w:val="000000"/>
        </w:rPr>
        <w:t xml:space="preserve">Demonstration Year 4: </w:t>
      </w:r>
      <w:r w:rsidR="0031136C" w:rsidRPr="00B015F5">
        <w:t xml:space="preserve">In Demonstration Year 4, </w:t>
      </w:r>
      <w:r w:rsidR="009406A4">
        <w:t>t</w:t>
      </w:r>
      <w:r w:rsidR="0031136C" w:rsidRPr="00B015F5">
        <w:rPr>
          <w:color w:val="000000"/>
        </w:rPr>
        <w:t>he Region 2 retrospective performance payment will be allocated as follows, consistent with the approach taken in Demonstration Year 1</w:t>
      </w:r>
      <w:r w:rsidR="002B394F">
        <w:rPr>
          <w:color w:val="000000"/>
        </w:rPr>
        <w:t xml:space="preserve"> for Region 1</w:t>
      </w:r>
      <w:r w:rsidR="0031136C" w:rsidRPr="00B015F5">
        <w:rPr>
          <w:color w:val="000000"/>
        </w:rPr>
        <w:t>:</w:t>
      </w:r>
    </w:p>
    <w:p w14:paraId="4455C7C3" w14:textId="77777777" w:rsidR="0031136C" w:rsidRPr="00B015F5" w:rsidRDefault="0031136C" w:rsidP="00424D34">
      <w:pPr>
        <w:pStyle w:val="ListParagraph"/>
        <w:numPr>
          <w:ilvl w:val="2"/>
          <w:numId w:val="49"/>
        </w:numPr>
        <w:ind w:left="2160" w:hanging="1170"/>
      </w:pPr>
      <w:r w:rsidRPr="00B015F5">
        <w:rPr>
          <w:bCs/>
        </w:rPr>
        <w:lastRenderedPageBreak/>
        <w:t>Payment for the portion of the Region 2 retrospective performance payment is based on the percentage of measures applicable for Region 2 in Demonstration Year 4 for which the State has completely and accurately reported data. The State would qualify for the full Region 2 retrospective performance payment based on complete and accurate reporting of all measures included in Demonstration Year 4 for Region</w:t>
      </w:r>
      <w:r w:rsidR="00B67CCF" w:rsidRPr="00B015F5">
        <w:rPr>
          <w:bCs/>
        </w:rPr>
        <w:t xml:space="preserve"> 2</w:t>
      </w:r>
      <w:r w:rsidRPr="00B015F5">
        <w:rPr>
          <w:bCs/>
        </w:rPr>
        <w:t>.</w:t>
      </w:r>
    </w:p>
    <w:p w14:paraId="29DD5969" w14:textId="77777777" w:rsidR="0031136C" w:rsidRPr="00B015F5" w:rsidRDefault="0031136C" w:rsidP="00EF6D8A">
      <w:pPr>
        <w:pStyle w:val="ListParagraph"/>
        <w:numPr>
          <w:ilvl w:val="3"/>
          <w:numId w:val="49"/>
        </w:numPr>
        <w:ind w:left="2700" w:hanging="1170"/>
      </w:pPr>
      <w:r w:rsidRPr="00B015F5">
        <w:rPr>
          <w:bCs/>
        </w:rPr>
        <w:t>Specifically, the State will qualify for the full retrospective performance payment for Region 2 if the following 10 measures are completely and accurately reported: A.1, A.2, A.3, A.4, B.1, B.2, B.3, C.1, C.2, and C.3</w:t>
      </w:r>
      <w:r w:rsidR="00B67CCF" w:rsidRPr="00B015F5">
        <w:rPr>
          <w:bCs/>
        </w:rPr>
        <w:t>, as listed in Table 2</w:t>
      </w:r>
      <w:r w:rsidRPr="00B015F5">
        <w:rPr>
          <w:bCs/>
        </w:rPr>
        <w:t>.</w:t>
      </w:r>
    </w:p>
    <w:p w14:paraId="2BBBD542" w14:textId="2FE4DC73" w:rsidR="0031136C" w:rsidRPr="00B015F5" w:rsidRDefault="00A926D0" w:rsidP="00EF6D8A">
      <w:pPr>
        <w:pStyle w:val="ListParagraph"/>
        <w:numPr>
          <w:ilvl w:val="1"/>
          <w:numId w:val="49"/>
        </w:numPr>
        <w:ind w:left="1620" w:hanging="1260"/>
      </w:pPr>
      <w:r w:rsidRPr="00B015F5">
        <w:t>Demonstration Year 5</w:t>
      </w:r>
      <w:r w:rsidR="0031136C" w:rsidRPr="00B015F5">
        <w:t xml:space="preserve">: In Demonstration Year 5, </w:t>
      </w:r>
      <w:r w:rsidR="0031136C" w:rsidRPr="00B015F5">
        <w:rPr>
          <w:color w:val="000000"/>
        </w:rPr>
        <w:t>The Region 2 retrospective performance payment will be allocated as follows, consistent with the approach taken in Demonstration</w:t>
      </w:r>
      <w:r w:rsidR="002B394F">
        <w:rPr>
          <w:color w:val="000000"/>
        </w:rPr>
        <w:t xml:space="preserve"> Year 2 for Region 1</w:t>
      </w:r>
      <w:r w:rsidR="0031136C" w:rsidRPr="00B015F5">
        <w:rPr>
          <w:color w:val="000000"/>
        </w:rPr>
        <w:t>:</w:t>
      </w:r>
    </w:p>
    <w:p w14:paraId="5FF0FCB9" w14:textId="0BC23192" w:rsidR="0031136C" w:rsidRPr="00B015F5" w:rsidRDefault="0031136C" w:rsidP="00EF6D8A">
      <w:pPr>
        <w:pStyle w:val="ListParagraph"/>
        <w:numPr>
          <w:ilvl w:val="2"/>
          <w:numId w:val="49"/>
        </w:numPr>
        <w:ind w:left="2160" w:hanging="1080"/>
      </w:pPr>
      <w:r w:rsidRPr="00B015F5">
        <w:rPr>
          <w:bCs/>
        </w:rPr>
        <w:t>The first component (30% of the Region 2 retrospective performance payment) will be distributed once</w:t>
      </w:r>
      <w:r w:rsidR="00F17A5E" w:rsidRPr="00B015F5">
        <w:rPr>
          <w:bCs/>
        </w:rPr>
        <w:t xml:space="preserve"> CMS determines </w:t>
      </w:r>
      <w:r w:rsidRPr="00B015F5">
        <w:rPr>
          <w:bCs/>
        </w:rPr>
        <w:t>that the State has completely and accurately reported all measures included in Demonstration Year 5</w:t>
      </w:r>
      <w:r w:rsidR="00A926D0" w:rsidRPr="00B015F5">
        <w:rPr>
          <w:bCs/>
        </w:rPr>
        <w:t>.</w:t>
      </w:r>
    </w:p>
    <w:p w14:paraId="3B1C2471" w14:textId="76668CCA" w:rsidR="0031136C" w:rsidRPr="00B015F5" w:rsidRDefault="0031136C" w:rsidP="00EF6D8A">
      <w:pPr>
        <w:pStyle w:val="ListParagraph"/>
        <w:numPr>
          <w:ilvl w:val="3"/>
          <w:numId w:val="49"/>
        </w:numPr>
        <w:tabs>
          <w:tab w:val="left" w:pos="2790"/>
        </w:tabs>
        <w:ind w:left="2700" w:hanging="1170"/>
      </w:pPr>
      <w:r w:rsidRPr="00B015F5">
        <w:rPr>
          <w:bCs/>
        </w:rPr>
        <w:t>Specifically, the State will qualify for the first component (30% of the retrospective performance payment) if the following 11 measures are completely and accurately reported: A.1, A.2, A.3</w:t>
      </w:r>
      <w:r w:rsidR="003F1009">
        <w:rPr>
          <w:bCs/>
        </w:rPr>
        <w:t>, A.4, A.9, A.10, B.2, B.3, C.1</w:t>
      </w:r>
      <w:r w:rsidRPr="00B015F5">
        <w:rPr>
          <w:bCs/>
        </w:rPr>
        <w:t>, C.2, and C.3</w:t>
      </w:r>
      <w:r w:rsidR="00B67CCF" w:rsidRPr="00B015F5">
        <w:rPr>
          <w:bCs/>
        </w:rPr>
        <w:t>, as listed in Table 2</w:t>
      </w:r>
      <w:r w:rsidRPr="00B015F5">
        <w:rPr>
          <w:bCs/>
        </w:rPr>
        <w:t>.</w:t>
      </w:r>
    </w:p>
    <w:p w14:paraId="41AED7B8" w14:textId="0DCABF52" w:rsidR="0031136C" w:rsidRPr="00B015F5" w:rsidRDefault="0031136C" w:rsidP="00EF6D8A">
      <w:pPr>
        <w:pStyle w:val="ListParagraph"/>
        <w:numPr>
          <w:ilvl w:val="2"/>
          <w:numId w:val="49"/>
        </w:numPr>
        <w:ind w:left="2160" w:hanging="1080"/>
      </w:pPr>
      <w:r w:rsidRPr="00B015F5">
        <w:rPr>
          <w:bCs/>
        </w:rPr>
        <w:t xml:space="preserve">The second component (30% of the Region 2 retrospective performance payment) will be distributed once </w:t>
      </w:r>
      <w:r w:rsidR="00F17A5E" w:rsidRPr="00B015F5">
        <w:rPr>
          <w:bCs/>
        </w:rPr>
        <w:t xml:space="preserve">CMS determines </w:t>
      </w:r>
      <w:r w:rsidRPr="00B015F5">
        <w:rPr>
          <w:bCs/>
        </w:rPr>
        <w:t xml:space="preserve">that the State has scored a “met” on at least 50% of the “benchmark/improvement” measures included in that </w:t>
      </w:r>
      <w:r w:rsidR="001C68CA">
        <w:rPr>
          <w:bCs/>
        </w:rPr>
        <w:t>Demonstration Y</w:t>
      </w:r>
      <w:r w:rsidRPr="00B015F5">
        <w:rPr>
          <w:bCs/>
        </w:rPr>
        <w:t>ear</w:t>
      </w:r>
      <w:r w:rsidR="0020142D" w:rsidRPr="00B015F5">
        <w:t xml:space="preserve">. </w:t>
      </w:r>
      <w:r w:rsidRPr="00B015F5">
        <w:t xml:space="preserve">If the State does not “meet” at least 50% of these measures, no payment will be made for this </w:t>
      </w:r>
      <w:r w:rsidRPr="00B015F5">
        <w:rPr>
          <w:bCs/>
        </w:rPr>
        <w:t>component.</w:t>
      </w:r>
    </w:p>
    <w:p w14:paraId="6B96916C" w14:textId="4DA6FBF3" w:rsidR="0031136C" w:rsidRPr="00B015F5" w:rsidRDefault="0031136C" w:rsidP="00EF6D8A">
      <w:pPr>
        <w:pStyle w:val="ListParagraph"/>
        <w:numPr>
          <w:ilvl w:val="3"/>
          <w:numId w:val="49"/>
        </w:numPr>
        <w:tabs>
          <w:tab w:val="left" w:pos="2700"/>
        </w:tabs>
        <w:ind w:left="2700" w:hanging="1170"/>
      </w:pPr>
      <w:r w:rsidRPr="00B015F5">
        <w:rPr>
          <w:bCs/>
        </w:rPr>
        <w:lastRenderedPageBreak/>
        <w:t>Specifically, the State will qualify for the second component (30% of the retrospective performance payment) once it has been determined that the State has met the benchmark or improvement goal for at least 50% (4) of the following 8 measures: A.1, A.2, A.3, A.4, B.2, C.1, C.2</w:t>
      </w:r>
      <w:r w:rsidR="009406A4">
        <w:rPr>
          <w:bCs/>
        </w:rPr>
        <w:t>,</w:t>
      </w:r>
      <w:r w:rsidRPr="00B015F5">
        <w:rPr>
          <w:bCs/>
        </w:rPr>
        <w:t xml:space="preserve"> and C.3</w:t>
      </w:r>
      <w:r w:rsidR="00B67CCF" w:rsidRPr="00B015F5">
        <w:rPr>
          <w:bCs/>
        </w:rPr>
        <w:t>, as listed in Table 2</w:t>
      </w:r>
      <w:r w:rsidRPr="00B015F5">
        <w:rPr>
          <w:bCs/>
        </w:rPr>
        <w:t>.</w:t>
      </w:r>
    </w:p>
    <w:p w14:paraId="0A55C570" w14:textId="77777777" w:rsidR="0031136C" w:rsidRPr="00B015F5" w:rsidRDefault="0031136C" w:rsidP="00EF6D8A">
      <w:pPr>
        <w:pStyle w:val="ListParagraph"/>
        <w:numPr>
          <w:ilvl w:val="2"/>
          <w:numId w:val="49"/>
        </w:numPr>
        <w:ind w:left="2160" w:hanging="1080"/>
      </w:pPr>
      <w:r w:rsidRPr="00B015F5">
        <w:t xml:space="preserve">The third component (40% of the Region 2 retrospective performance payment) is only available if the State has met the criteria for the first two components. The third component will be distributed based on the number of percentage points above 50% of measures for which the State has scored a “met,” multiplied by </w:t>
      </w:r>
      <w:r w:rsidRPr="00B015F5">
        <w:rPr>
          <w:bCs/>
        </w:rPr>
        <w:t>(4/</w:t>
      </w:r>
      <w:r w:rsidRPr="00B015F5">
        <w:t>3</w:t>
      </w:r>
      <w:r w:rsidRPr="00B015F5">
        <w:rPr>
          <w:bCs/>
        </w:rPr>
        <w:t>),</w:t>
      </w:r>
      <w:r w:rsidRPr="00B015F5">
        <w:t xml:space="preserve"> including all measures included in Demonstration Year 5 for Region 2,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Region 2 performance payment.</w:t>
      </w:r>
    </w:p>
    <w:p w14:paraId="17840E11" w14:textId="2F0E09CE" w:rsidR="0031136C" w:rsidRPr="00B015F5" w:rsidRDefault="0031136C" w:rsidP="00EF6D8A">
      <w:pPr>
        <w:pStyle w:val="ListParagraph"/>
        <w:numPr>
          <w:ilvl w:val="3"/>
          <w:numId w:val="49"/>
        </w:numPr>
        <w:ind w:left="2700" w:hanging="1170"/>
      </w:pPr>
      <w:r w:rsidRPr="00B015F5">
        <w:rPr>
          <w:color w:val="000000"/>
        </w:rPr>
        <w:t xml:space="preserve">Specifically, for Demonstration Year 5, distribution of the second component is based on the number of measures for which the State has completely and accurately reported (applicable for </w:t>
      </w:r>
      <w:r w:rsidR="00A926D0" w:rsidRPr="00B015F5">
        <w:rPr>
          <w:color w:val="000000"/>
        </w:rPr>
        <w:t>3</w:t>
      </w:r>
      <w:r w:rsidRPr="00B015F5">
        <w:rPr>
          <w:color w:val="000000"/>
        </w:rPr>
        <w:t xml:space="preserve"> measures: A.9, </w:t>
      </w:r>
      <w:r w:rsidRPr="00416456">
        <w:rPr>
          <w:color w:val="000000"/>
        </w:rPr>
        <w:t xml:space="preserve">A.10, </w:t>
      </w:r>
      <w:r w:rsidR="009406A4">
        <w:rPr>
          <w:color w:val="000000"/>
        </w:rPr>
        <w:t xml:space="preserve">and </w:t>
      </w:r>
      <w:r w:rsidRPr="00416456">
        <w:rPr>
          <w:color w:val="000000"/>
        </w:rPr>
        <w:t>B.3) and met the benchmark or improvement goal (applicable for 8 measures: A.1, A.2, A.3, A.4, B.2, C.1, C.2, and C.3)</w:t>
      </w:r>
      <w:r w:rsidR="00B67CCF" w:rsidRPr="00416456">
        <w:rPr>
          <w:bCs/>
        </w:rPr>
        <w:t>, as listed in Table 2</w:t>
      </w:r>
      <w:r w:rsidRPr="00416456">
        <w:rPr>
          <w:color w:val="000000"/>
        </w:rPr>
        <w:t xml:space="preserve">. </w:t>
      </w:r>
      <w:r w:rsidR="00FA0475" w:rsidRPr="00416456">
        <w:t>Measures that are not completely and accurately reported are scored as a “</w:t>
      </w:r>
      <w:r w:rsidR="00DB4DB2" w:rsidRPr="00416456">
        <w:t xml:space="preserve">not </w:t>
      </w:r>
      <w:r w:rsidR="00FA0475" w:rsidRPr="00416456">
        <w:t>met</w:t>
      </w:r>
      <w:r w:rsidR="0020142D" w:rsidRPr="00416456">
        <w:t>.”</w:t>
      </w:r>
      <w:r w:rsidR="00FA0475" w:rsidRPr="00416456">
        <w:rPr>
          <w:i/>
        </w:rPr>
        <w:t xml:space="preserve">  </w:t>
      </w:r>
      <w:r w:rsidR="00312952" w:rsidRPr="00416456">
        <w:rPr>
          <w:color w:val="000000"/>
        </w:rPr>
        <w:t>A</w:t>
      </w:r>
      <w:r w:rsidRPr="00416456">
        <w:rPr>
          <w:color w:val="000000"/>
        </w:rPr>
        <w:t xml:space="preserve">mong these total </w:t>
      </w:r>
      <w:r w:rsidR="00A926D0" w:rsidRPr="00416456">
        <w:rPr>
          <w:color w:val="000000"/>
        </w:rPr>
        <w:t>11</w:t>
      </w:r>
      <w:r w:rsidRPr="00416456">
        <w:rPr>
          <w:color w:val="000000"/>
        </w:rPr>
        <w:t xml:space="preserve"> measures considered, the State qualifies for this component as follows:</w:t>
      </w:r>
    </w:p>
    <w:p w14:paraId="19DDDB8A" w14:textId="24DAFDE9" w:rsidR="00EF6D8A" w:rsidRPr="00B015F5" w:rsidRDefault="0031136C" w:rsidP="003F1009">
      <w:pPr>
        <w:pStyle w:val="ListParagraph"/>
        <w:numPr>
          <w:ilvl w:val="4"/>
          <w:numId w:val="49"/>
        </w:numPr>
        <w:ind w:left="4140" w:hanging="990"/>
      </w:pPr>
      <w:r w:rsidRPr="00B015F5">
        <w:rPr>
          <w:color w:val="000000"/>
        </w:rPr>
        <w:t xml:space="preserve">Meets </w:t>
      </w:r>
      <w:r w:rsidR="00A926D0" w:rsidRPr="00B015F5">
        <w:rPr>
          <w:color w:val="000000"/>
        </w:rPr>
        <w:t>9</w:t>
      </w:r>
      <w:r w:rsidRPr="00B015F5">
        <w:rPr>
          <w:color w:val="000000"/>
        </w:rPr>
        <w:t xml:space="preserve"> or more measures – qualifies for the full 40% (100% of this component).</w:t>
      </w:r>
    </w:p>
    <w:p w14:paraId="6F3C0FDA" w14:textId="703497C5" w:rsidR="00EF6D8A" w:rsidRPr="00B015F5" w:rsidRDefault="0031136C" w:rsidP="00EF6D8A">
      <w:pPr>
        <w:pStyle w:val="ListParagraph"/>
        <w:numPr>
          <w:ilvl w:val="4"/>
          <w:numId w:val="49"/>
        </w:numPr>
        <w:ind w:left="4140" w:hanging="990"/>
      </w:pPr>
      <w:r w:rsidRPr="00B015F5">
        <w:rPr>
          <w:color w:val="000000"/>
        </w:rPr>
        <w:t xml:space="preserve">Meets 8 measures – qualifies for </w:t>
      </w:r>
      <w:r w:rsidR="00B836A9" w:rsidRPr="00B015F5">
        <w:rPr>
          <w:color w:val="000000"/>
        </w:rPr>
        <w:t>30</w:t>
      </w:r>
      <w:r w:rsidRPr="00B015F5">
        <w:rPr>
          <w:color w:val="000000"/>
        </w:rPr>
        <w:t>% (</w:t>
      </w:r>
      <w:r w:rsidR="00B836A9" w:rsidRPr="00B015F5">
        <w:rPr>
          <w:color w:val="000000"/>
        </w:rPr>
        <w:t>76</w:t>
      </w:r>
      <w:r w:rsidRPr="00B015F5">
        <w:rPr>
          <w:color w:val="000000"/>
        </w:rPr>
        <w:t>% of this component).</w:t>
      </w:r>
    </w:p>
    <w:p w14:paraId="1D9E1FD8" w14:textId="0FB82158" w:rsidR="00EF6D8A" w:rsidRPr="00B015F5" w:rsidRDefault="0031136C" w:rsidP="003F1009">
      <w:pPr>
        <w:pStyle w:val="ListParagraph"/>
        <w:numPr>
          <w:ilvl w:val="4"/>
          <w:numId w:val="49"/>
        </w:numPr>
        <w:ind w:left="4140" w:hanging="990"/>
      </w:pPr>
      <w:r w:rsidRPr="00B015F5">
        <w:rPr>
          <w:color w:val="000000"/>
        </w:rPr>
        <w:lastRenderedPageBreak/>
        <w:t xml:space="preserve">Meets 7 measures – qualifies for </w:t>
      </w:r>
      <w:r w:rsidR="00B836A9" w:rsidRPr="00B015F5">
        <w:rPr>
          <w:color w:val="000000"/>
        </w:rPr>
        <w:t>18</w:t>
      </w:r>
      <w:r w:rsidRPr="00B015F5">
        <w:rPr>
          <w:color w:val="000000"/>
        </w:rPr>
        <w:t>% (</w:t>
      </w:r>
      <w:r w:rsidR="00B836A9" w:rsidRPr="00B015F5">
        <w:rPr>
          <w:color w:val="000000"/>
        </w:rPr>
        <w:t>45</w:t>
      </w:r>
      <w:r w:rsidRPr="00B015F5">
        <w:rPr>
          <w:color w:val="000000"/>
        </w:rPr>
        <w:t>% of this component).</w:t>
      </w:r>
    </w:p>
    <w:p w14:paraId="56385325" w14:textId="310C93C3" w:rsidR="0031136C" w:rsidRPr="00B015F5" w:rsidRDefault="0031136C" w:rsidP="00EF6D8A">
      <w:pPr>
        <w:pStyle w:val="ListParagraph"/>
        <w:numPr>
          <w:ilvl w:val="4"/>
          <w:numId w:val="49"/>
        </w:numPr>
        <w:ind w:left="4140" w:hanging="990"/>
      </w:pPr>
      <w:r w:rsidRPr="00B015F5">
        <w:rPr>
          <w:color w:val="000000"/>
        </w:rPr>
        <w:t xml:space="preserve">Meets </w:t>
      </w:r>
      <w:r w:rsidR="00B67CCF" w:rsidRPr="00B015F5">
        <w:rPr>
          <w:color w:val="000000"/>
        </w:rPr>
        <w:t>6</w:t>
      </w:r>
      <w:r w:rsidRPr="00B015F5">
        <w:rPr>
          <w:color w:val="000000"/>
        </w:rPr>
        <w:t xml:space="preserve"> or fewer measures – qualifies for 0% of this component.</w:t>
      </w:r>
    </w:p>
    <w:p w14:paraId="62B9FB81" w14:textId="77777777" w:rsidR="00B836A9" w:rsidRPr="00343B91" w:rsidRDefault="00B836A9" w:rsidP="00B836A9">
      <w:pPr>
        <w:ind w:left="1440"/>
      </w:pPr>
    </w:p>
    <w:p w14:paraId="2777A369" w14:textId="0802B412" w:rsidR="00B836A9" w:rsidRPr="00B015F5" w:rsidRDefault="00B836A9" w:rsidP="00D7339B">
      <w:pPr>
        <w:pStyle w:val="ListParagraph"/>
        <w:numPr>
          <w:ilvl w:val="2"/>
          <w:numId w:val="49"/>
        </w:numPr>
        <w:ind w:left="2160" w:hanging="990"/>
      </w:pPr>
      <w:r w:rsidRPr="00B015F5">
        <w:rPr>
          <w:color w:val="000000"/>
        </w:rPr>
        <w:t>Table 4 below indicates what percent of the total available Re</w:t>
      </w:r>
      <w:r w:rsidR="00F17A5E" w:rsidRPr="00B015F5">
        <w:rPr>
          <w:color w:val="000000"/>
        </w:rPr>
        <w:t>gion 2 performance payment the S</w:t>
      </w:r>
      <w:r w:rsidRPr="00B015F5">
        <w:rPr>
          <w:color w:val="000000"/>
        </w:rPr>
        <w:t>tate is eligible to receive based on its performance on the quality measures. To the extent all measures are not reported completely and accurately, the available performance payment will vary</w:t>
      </w:r>
      <w:r w:rsidRPr="00B015F5">
        <w:rPr>
          <w:b/>
          <w:color w:val="000000"/>
        </w:rPr>
        <w:t>.</w:t>
      </w:r>
    </w:p>
    <w:p w14:paraId="33C4A87F" w14:textId="77777777" w:rsidR="00B836A9" w:rsidRPr="00B015F5" w:rsidRDefault="00B836A9" w:rsidP="00343B91">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B015F5">
        <w:rPr>
          <w:b/>
          <w:color w:val="000000"/>
        </w:rPr>
        <w:t xml:space="preserve">Table 4 – Region 2 Available Performance Payment Based on Quality Measure Performance </w:t>
      </w:r>
    </w:p>
    <w:tbl>
      <w:tblPr>
        <w:tblStyle w:val="TableGrid"/>
        <w:tblW w:w="8725" w:type="dxa"/>
        <w:tblLayout w:type="fixed"/>
        <w:tblLook w:val="04A0" w:firstRow="1" w:lastRow="0" w:firstColumn="1" w:lastColumn="0" w:noHBand="0" w:noVBand="1"/>
        <w:tblCaption w:val="Table 4 - Region 2 Available Performance Payment Based on Quality Measures"/>
        <w:tblDescription w:val="Table 4 – Region 2 Available Performance Payment Based on Quality Measure Performance including demonstration years 4 through 5, number of reported only measures, number of benchmarked measures, number of benchmarks met, and total available performance payment"/>
      </w:tblPr>
      <w:tblGrid>
        <w:gridCol w:w="1705"/>
        <w:gridCol w:w="1350"/>
        <w:gridCol w:w="1710"/>
        <w:gridCol w:w="1620"/>
        <w:gridCol w:w="2340"/>
      </w:tblGrid>
      <w:tr w:rsidR="00B836A9" w:rsidRPr="00B015F5" w14:paraId="4B0A41A2" w14:textId="77777777" w:rsidTr="005C0817">
        <w:trPr>
          <w:trHeight w:val="845"/>
          <w:tblHeader/>
        </w:trPr>
        <w:tc>
          <w:tcPr>
            <w:tcW w:w="1705" w:type="dxa"/>
            <w:hideMark/>
          </w:tcPr>
          <w:p w14:paraId="1A80D034" w14:textId="77777777" w:rsidR="00B836A9" w:rsidRPr="00B015F5" w:rsidRDefault="00B836A9" w:rsidP="0041796C">
            <w:pPr>
              <w:widowControl/>
              <w:rPr>
                <w:b/>
                <w:bCs/>
                <w:color w:val="000000"/>
                <w:sz w:val="22"/>
                <w:szCs w:val="22"/>
              </w:rPr>
            </w:pPr>
            <w:r w:rsidRPr="00B015F5">
              <w:rPr>
                <w:b/>
                <w:bCs/>
                <w:color w:val="000000"/>
                <w:sz w:val="22"/>
                <w:szCs w:val="22"/>
              </w:rPr>
              <w:t xml:space="preserve">Demonstration Year </w:t>
            </w:r>
          </w:p>
        </w:tc>
        <w:tc>
          <w:tcPr>
            <w:tcW w:w="1350" w:type="dxa"/>
            <w:hideMark/>
          </w:tcPr>
          <w:p w14:paraId="5AC019FB" w14:textId="77777777" w:rsidR="00B836A9" w:rsidRPr="00B015F5" w:rsidRDefault="00B836A9" w:rsidP="0041796C">
            <w:pPr>
              <w:widowControl/>
              <w:rPr>
                <w:b/>
                <w:bCs/>
                <w:color w:val="000000"/>
                <w:sz w:val="22"/>
                <w:szCs w:val="22"/>
              </w:rPr>
            </w:pPr>
            <w:r w:rsidRPr="00B015F5">
              <w:rPr>
                <w:b/>
                <w:bCs/>
                <w:color w:val="000000"/>
                <w:sz w:val="22"/>
                <w:szCs w:val="22"/>
              </w:rPr>
              <w:t># Reported Only Measures</w:t>
            </w:r>
          </w:p>
        </w:tc>
        <w:tc>
          <w:tcPr>
            <w:tcW w:w="1710" w:type="dxa"/>
            <w:hideMark/>
          </w:tcPr>
          <w:p w14:paraId="16B189C7" w14:textId="77777777" w:rsidR="00B836A9" w:rsidRPr="00B015F5" w:rsidRDefault="00B836A9" w:rsidP="0041796C">
            <w:pPr>
              <w:widowControl/>
              <w:rPr>
                <w:b/>
                <w:bCs/>
                <w:color w:val="000000"/>
                <w:sz w:val="22"/>
                <w:szCs w:val="22"/>
              </w:rPr>
            </w:pPr>
            <w:r w:rsidRPr="00B015F5">
              <w:rPr>
                <w:b/>
                <w:bCs/>
                <w:color w:val="000000"/>
                <w:sz w:val="22"/>
                <w:szCs w:val="22"/>
              </w:rPr>
              <w:t># Benchmarked Measures</w:t>
            </w:r>
          </w:p>
        </w:tc>
        <w:tc>
          <w:tcPr>
            <w:tcW w:w="1620" w:type="dxa"/>
            <w:hideMark/>
          </w:tcPr>
          <w:p w14:paraId="33FF57BB" w14:textId="77777777" w:rsidR="00B836A9" w:rsidRPr="00B015F5" w:rsidRDefault="00B836A9" w:rsidP="0041796C">
            <w:pPr>
              <w:widowControl/>
              <w:rPr>
                <w:b/>
                <w:bCs/>
                <w:color w:val="000000"/>
                <w:sz w:val="22"/>
                <w:szCs w:val="22"/>
              </w:rPr>
            </w:pPr>
            <w:r w:rsidRPr="00B015F5">
              <w:rPr>
                <w:b/>
                <w:bCs/>
                <w:color w:val="000000"/>
                <w:sz w:val="22"/>
                <w:szCs w:val="22"/>
              </w:rPr>
              <w:t># Benchmarks Met</w:t>
            </w:r>
          </w:p>
        </w:tc>
        <w:tc>
          <w:tcPr>
            <w:tcW w:w="2340" w:type="dxa"/>
            <w:hideMark/>
          </w:tcPr>
          <w:p w14:paraId="65D582DD" w14:textId="77777777" w:rsidR="00B836A9" w:rsidRPr="00B015F5" w:rsidRDefault="00B836A9" w:rsidP="0041796C">
            <w:pPr>
              <w:widowControl/>
              <w:rPr>
                <w:b/>
                <w:bCs/>
                <w:color w:val="000000"/>
                <w:sz w:val="22"/>
                <w:szCs w:val="22"/>
              </w:rPr>
            </w:pPr>
            <w:r w:rsidRPr="00B015F5">
              <w:rPr>
                <w:b/>
                <w:bCs/>
                <w:color w:val="000000"/>
                <w:sz w:val="22"/>
                <w:szCs w:val="22"/>
              </w:rPr>
              <w:t>Total Available Performance Payment</w:t>
            </w:r>
          </w:p>
        </w:tc>
      </w:tr>
      <w:tr w:rsidR="00B836A9" w:rsidRPr="00B015F5" w14:paraId="4739B73C" w14:textId="77777777" w:rsidTr="005C0817">
        <w:trPr>
          <w:trHeight w:val="300"/>
        </w:trPr>
        <w:tc>
          <w:tcPr>
            <w:tcW w:w="1705" w:type="dxa"/>
            <w:noWrap/>
            <w:hideMark/>
          </w:tcPr>
          <w:p w14:paraId="6384CC86" w14:textId="77777777" w:rsidR="00B836A9" w:rsidRPr="00B015F5" w:rsidRDefault="00B836A9" w:rsidP="0041796C">
            <w:pPr>
              <w:widowControl/>
              <w:jc w:val="center"/>
              <w:rPr>
                <w:color w:val="000000"/>
                <w:sz w:val="22"/>
                <w:szCs w:val="22"/>
              </w:rPr>
            </w:pPr>
            <w:r w:rsidRPr="00B015F5">
              <w:rPr>
                <w:color w:val="000000"/>
                <w:sz w:val="22"/>
                <w:szCs w:val="22"/>
              </w:rPr>
              <w:t>4</w:t>
            </w:r>
          </w:p>
        </w:tc>
        <w:tc>
          <w:tcPr>
            <w:tcW w:w="1350" w:type="dxa"/>
            <w:noWrap/>
            <w:hideMark/>
          </w:tcPr>
          <w:p w14:paraId="78A7275D" w14:textId="77777777" w:rsidR="00B836A9" w:rsidRPr="00B015F5" w:rsidRDefault="00B836A9" w:rsidP="0041796C">
            <w:pPr>
              <w:widowControl/>
              <w:jc w:val="center"/>
              <w:rPr>
                <w:color w:val="000000"/>
                <w:sz w:val="22"/>
                <w:szCs w:val="22"/>
              </w:rPr>
            </w:pPr>
            <w:r w:rsidRPr="00B015F5">
              <w:rPr>
                <w:color w:val="000000"/>
                <w:sz w:val="22"/>
                <w:szCs w:val="22"/>
              </w:rPr>
              <w:t>10</w:t>
            </w:r>
          </w:p>
        </w:tc>
        <w:tc>
          <w:tcPr>
            <w:tcW w:w="1710" w:type="dxa"/>
            <w:noWrap/>
            <w:hideMark/>
          </w:tcPr>
          <w:p w14:paraId="3F9E1033" w14:textId="77777777" w:rsidR="00B836A9" w:rsidRPr="00B015F5" w:rsidRDefault="00B836A9" w:rsidP="0041796C">
            <w:pPr>
              <w:widowControl/>
              <w:jc w:val="center"/>
              <w:rPr>
                <w:color w:val="000000"/>
                <w:sz w:val="22"/>
                <w:szCs w:val="22"/>
              </w:rPr>
            </w:pPr>
            <w:r w:rsidRPr="00B015F5">
              <w:rPr>
                <w:color w:val="000000"/>
                <w:sz w:val="22"/>
                <w:szCs w:val="22"/>
              </w:rPr>
              <w:t>0</w:t>
            </w:r>
          </w:p>
        </w:tc>
        <w:tc>
          <w:tcPr>
            <w:tcW w:w="1620" w:type="dxa"/>
            <w:noWrap/>
            <w:hideMark/>
          </w:tcPr>
          <w:p w14:paraId="2DE04048" w14:textId="77777777" w:rsidR="00B836A9" w:rsidRPr="00B015F5" w:rsidRDefault="00B836A9" w:rsidP="0041796C">
            <w:pPr>
              <w:widowControl/>
              <w:jc w:val="center"/>
              <w:rPr>
                <w:color w:val="000000"/>
                <w:sz w:val="22"/>
                <w:szCs w:val="22"/>
              </w:rPr>
            </w:pPr>
            <w:r w:rsidRPr="00B015F5">
              <w:rPr>
                <w:color w:val="000000"/>
                <w:sz w:val="22"/>
                <w:szCs w:val="22"/>
              </w:rPr>
              <w:t>N/A</w:t>
            </w:r>
          </w:p>
        </w:tc>
        <w:tc>
          <w:tcPr>
            <w:tcW w:w="2340" w:type="dxa"/>
            <w:noWrap/>
            <w:hideMark/>
          </w:tcPr>
          <w:p w14:paraId="0F0ED623" w14:textId="77777777" w:rsidR="00B836A9" w:rsidRPr="00B015F5" w:rsidRDefault="00B836A9" w:rsidP="0041796C">
            <w:pPr>
              <w:widowControl/>
              <w:jc w:val="center"/>
              <w:rPr>
                <w:color w:val="000000"/>
                <w:sz w:val="22"/>
                <w:szCs w:val="22"/>
              </w:rPr>
            </w:pPr>
            <w:r w:rsidRPr="00B015F5">
              <w:rPr>
                <w:color w:val="000000"/>
                <w:sz w:val="22"/>
                <w:szCs w:val="22"/>
              </w:rPr>
              <w:t>100%</w:t>
            </w:r>
          </w:p>
        </w:tc>
      </w:tr>
      <w:tr w:rsidR="00B836A9" w:rsidRPr="00B015F5" w14:paraId="46B09B8D" w14:textId="77777777" w:rsidTr="005C0817">
        <w:trPr>
          <w:trHeight w:val="300"/>
        </w:trPr>
        <w:tc>
          <w:tcPr>
            <w:tcW w:w="1705" w:type="dxa"/>
            <w:noWrap/>
            <w:hideMark/>
          </w:tcPr>
          <w:p w14:paraId="0C374D52" w14:textId="77777777" w:rsidR="00B836A9" w:rsidRPr="00B015F5" w:rsidRDefault="00B836A9" w:rsidP="0041796C">
            <w:pPr>
              <w:widowControl/>
              <w:jc w:val="center"/>
              <w:rPr>
                <w:color w:val="000000"/>
                <w:sz w:val="22"/>
                <w:szCs w:val="22"/>
              </w:rPr>
            </w:pPr>
            <w:r w:rsidRPr="00B015F5">
              <w:rPr>
                <w:color w:val="000000"/>
                <w:sz w:val="22"/>
                <w:szCs w:val="22"/>
              </w:rPr>
              <w:t>5</w:t>
            </w:r>
          </w:p>
        </w:tc>
        <w:tc>
          <w:tcPr>
            <w:tcW w:w="1350" w:type="dxa"/>
            <w:noWrap/>
            <w:hideMark/>
          </w:tcPr>
          <w:p w14:paraId="409DF212" w14:textId="77777777" w:rsidR="00B836A9" w:rsidRPr="00B015F5" w:rsidRDefault="00B836A9" w:rsidP="0041796C">
            <w:pPr>
              <w:widowControl/>
              <w:jc w:val="center"/>
              <w:rPr>
                <w:color w:val="000000"/>
                <w:sz w:val="22"/>
                <w:szCs w:val="22"/>
              </w:rPr>
            </w:pPr>
            <w:r w:rsidRPr="00B015F5">
              <w:rPr>
                <w:color w:val="000000"/>
                <w:sz w:val="22"/>
                <w:szCs w:val="22"/>
              </w:rPr>
              <w:t>3</w:t>
            </w:r>
          </w:p>
        </w:tc>
        <w:tc>
          <w:tcPr>
            <w:tcW w:w="1710" w:type="dxa"/>
            <w:noWrap/>
            <w:hideMark/>
          </w:tcPr>
          <w:p w14:paraId="065C679F" w14:textId="77777777" w:rsidR="00B836A9" w:rsidRPr="00B015F5" w:rsidRDefault="00B836A9" w:rsidP="0041796C">
            <w:pPr>
              <w:widowControl/>
              <w:jc w:val="center"/>
              <w:rPr>
                <w:color w:val="000000"/>
                <w:sz w:val="22"/>
                <w:szCs w:val="22"/>
              </w:rPr>
            </w:pPr>
            <w:r w:rsidRPr="00B015F5">
              <w:rPr>
                <w:color w:val="000000"/>
                <w:sz w:val="22"/>
                <w:szCs w:val="22"/>
              </w:rPr>
              <w:t>8</w:t>
            </w:r>
          </w:p>
        </w:tc>
        <w:tc>
          <w:tcPr>
            <w:tcW w:w="1620" w:type="dxa"/>
            <w:noWrap/>
            <w:hideMark/>
          </w:tcPr>
          <w:p w14:paraId="21FFF264" w14:textId="77777777" w:rsidR="00B836A9" w:rsidRPr="00B015F5" w:rsidRDefault="00B836A9" w:rsidP="0041796C">
            <w:pPr>
              <w:widowControl/>
              <w:jc w:val="center"/>
              <w:rPr>
                <w:color w:val="000000"/>
                <w:sz w:val="22"/>
                <w:szCs w:val="22"/>
              </w:rPr>
            </w:pPr>
            <w:r w:rsidRPr="00B015F5">
              <w:rPr>
                <w:color w:val="000000"/>
                <w:sz w:val="22"/>
                <w:szCs w:val="22"/>
              </w:rPr>
              <w:t>6+</w:t>
            </w:r>
          </w:p>
        </w:tc>
        <w:tc>
          <w:tcPr>
            <w:tcW w:w="2340" w:type="dxa"/>
            <w:noWrap/>
            <w:hideMark/>
          </w:tcPr>
          <w:p w14:paraId="73029F92" w14:textId="77777777" w:rsidR="00B836A9" w:rsidRPr="00B015F5" w:rsidRDefault="00B836A9" w:rsidP="0041796C">
            <w:pPr>
              <w:widowControl/>
              <w:jc w:val="center"/>
              <w:rPr>
                <w:color w:val="000000"/>
                <w:sz w:val="22"/>
                <w:szCs w:val="22"/>
              </w:rPr>
            </w:pPr>
            <w:r w:rsidRPr="00B015F5">
              <w:rPr>
                <w:color w:val="000000"/>
                <w:sz w:val="22"/>
                <w:szCs w:val="22"/>
              </w:rPr>
              <w:t>100%</w:t>
            </w:r>
          </w:p>
        </w:tc>
      </w:tr>
      <w:tr w:rsidR="00B836A9" w:rsidRPr="00B015F5" w14:paraId="7EC5ECD9" w14:textId="77777777" w:rsidTr="005C0817">
        <w:trPr>
          <w:trHeight w:val="359"/>
        </w:trPr>
        <w:tc>
          <w:tcPr>
            <w:tcW w:w="1705" w:type="dxa"/>
            <w:hideMark/>
          </w:tcPr>
          <w:p w14:paraId="004C3F47" w14:textId="060A44B5"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08242C1C" w14:textId="318EEE01"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6EBCF32E" w14:textId="534D6D83"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61CA1F17" w14:textId="77777777" w:rsidR="00B836A9" w:rsidRPr="00B015F5" w:rsidRDefault="00B836A9" w:rsidP="0041796C">
            <w:pPr>
              <w:widowControl/>
              <w:jc w:val="center"/>
              <w:rPr>
                <w:color w:val="000000"/>
                <w:sz w:val="22"/>
                <w:szCs w:val="22"/>
              </w:rPr>
            </w:pPr>
            <w:r w:rsidRPr="00B015F5">
              <w:rPr>
                <w:color w:val="000000"/>
                <w:sz w:val="22"/>
                <w:szCs w:val="22"/>
              </w:rPr>
              <w:t>5</w:t>
            </w:r>
          </w:p>
        </w:tc>
        <w:tc>
          <w:tcPr>
            <w:tcW w:w="2340" w:type="dxa"/>
            <w:noWrap/>
            <w:hideMark/>
          </w:tcPr>
          <w:p w14:paraId="22179BEF" w14:textId="77777777" w:rsidR="00B836A9" w:rsidRPr="00B015F5" w:rsidRDefault="00B836A9" w:rsidP="0041796C">
            <w:pPr>
              <w:widowControl/>
              <w:jc w:val="center"/>
              <w:rPr>
                <w:color w:val="000000"/>
                <w:sz w:val="22"/>
                <w:szCs w:val="22"/>
              </w:rPr>
            </w:pPr>
            <w:r w:rsidRPr="00B015F5">
              <w:rPr>
                <w:color w:val="000000"/>
                <w:sz w:val="22"/>
                <w:szCs w:val="22"/>
              </w:rPr>
              <w:t>90%</w:t>
            </w:r>
          </w:p>
        </w:tc>
      </w:tr>
      <w:tr w:rsidR="00B836A9" w:rsidRPr="00B015F5" w14:paraId="41A5DA96" w14:textId="77777777" w:rsidTr="005C0817">
        <w:trPr>
          <w:trHeight w:val="300"/>
        </w:trPr>
        <w:tc>
          <w:tcPr>
            <w:tcW w:w="1705" w:type="dxa"/>
            <w:hideMark/>
          </w:tcPr>
          <w:p w14:paraId="0A1C368C" w14:textId="0B00B7EB"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77655A1E" w14:textId="359C6852"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063F391F" w14:textId="4C5AE33C"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427F166E" w14:textId="77777777" w:rsidR="00B836A9" w:rsidRPr="00B015F5" w:rsidRDefault="00B836A9" w:rsidP="0041796C">
            <w:pPr>
              <w:widowControl/>
              <w:jc w:val="center"/>
              <w:rPr>
                <w:color w:val="000000"/>
                <w:sz w:val="22"/>
                <w:szCs w:val="22"/>
              </w:rPr>
            </w:pPr>
            <w:r w:rsidRPr="00B015F5">
              <w:rPr>
                <w:color w:val="000000"/>
                <w:sz w:val="22"/>
                <w:szCs w:val="22"/>
              </w:rPr>
              <w:t>4</w:t>
            </w:r>
          </w:p>
        </w:tc>
        <w:tc>
          <w:tcPr>
            <w:tcW w:w="2340" w:type="dxa"/>
            <w:noWrap/>
            <w:hideMark/>
          </w:tcPr>
          <w:p w14:paraId="208C4E55" w14:textId="77777777" w:rsidR="00B836A9" w:rsidRPr="00B015F5" w:rsidRDefault="00B836A9" w:rsidP="0041796C">
            <w:pPr>
              <w:widowControl/>
              <w:jc w:val="center"/>
              <w:rPr>
                <w:color w:val="000000"/>
                <w:sz w:val="22"/>
                <w:szCs w:val="22"/>
              </w:rPr>
            </w:pPr>
            <w:r w:rsidRPr="00B015F5">
              <w:rPr>
                <w:color w:val="000000"/>
                <w:sz w:val="22"/>
                <w:szCs w:val="22"/>
              </w:rPr>
              <w:t>78%</w:t>
            </w:r>
          </w:p>
        </w:tc>
      </w:tr>
      <w:tr w:rsidR="00B836A9" w:rsidRPr="00B015F5" w14:paraId="275700D6" w14:textId="77777777" w:rsidTr="005C0817">
        <w:trPr>
          <w:trHeight w:val="300"/>
        </w:trPr>
        <w:tc>
          <w:tcPr>
            <w:tcW w:w="1705" w:type="dxa"/>
            <w:hideMark/>
          </w:tcPr>
          <w:p w14:paraId="12BF7FD1" w14:textId="55C82E30"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579727CD" w14:textId="7BA0BD27"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5CDECA1F" w14:textId="60857993"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69FD019E" w14:textId="77777777" w:rsidR="00B836A9" w:rsidRPr="00B015F5" w:rsidRDefault="00B836A9" w:rsidP="0041796C">
            <w:pPr>
              <w:widowControl/>
              <w:jc w:val="center"/>
              <w:rPr>
                <w:color w:val="000000"/>
                <w:sz w:val="22"/>
                <w:szCs w:val="22"/>
              </w:rPr>
            </w:pPr>
            <w:r w:rsidRPr="00B015F5">
              <w:rPr>
                <w:color w:val="000000"/>
                <w:sz w:val="22"/>
                <w:szCs w:val="22"/>
              </w:rPr>
              <w:t>&lt;4</w:t>
            </w:r>
          </w:p>
        </w:tc>
        <w:tc>
          <w:tcPr>
            <w:tcW w:w="2340" w:type="dxa"/>
            <w:noWrap/>
            <w:hideMark/>
          </w:tcPr>
          <w:p w14:paraId="2A33FBFE" w14:textId="77777777" w:rsidR="00B836A9" w:rsidRPr="00B015F5" w:rsidRDefault="00B836A9" w:rsidP="0041796C">
            <w:pPr>
              <w:widowControl/>
              <w:jc w:val="center"/>
              <w:rPr>
                <w:color w:val="000000"/>
                <w:sz w:val="22"/>
                <w:szCs w:val="22"/>
              </w:rPr>
            </w:pPr>
            <w:r w:rsidRPr="00B015F5">
              <w:rPr>
                <w:color w:val="000000"/>
                <w:sz w:val="22"/>
                <w:szCs w:val="22"/>
              </w:rPr>
              <w:t>30%</w:t>
            </w:r>
          </w:p>
        </w:tc>
      </w:tr>
    </w:tbl>
    <w:p w14:paraId="2B12E62D" w14:textId="77777777" w:rsidR="00AC0FF7" w:rsidRDefault="00DB6582"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*Note: Table 3 assumes all measures are completely and accurately reported.</w:t>
      </w:r>
    </w:p>
    <w:p w14:paraId="645CA863" w14:textId="33688EB8" w:rsidR="00C45C99" w:rsidRDefault="00C45C99" w:rsidP="00C45C99">
      <w:pPr>
        <w:pStyle w:val="ListParagraph"/>
        <w:numPr>
          <w:ilvl w:val="0"/>
          <w:numId w:val="49"/>
        </w:numPr>
        <w:rPr>
          <w:b/>
        </w:rPr>
      </w:pPr>
      <w:r>
        <w:rPr>
          <w:b/>
        </w:rPr>
        <w:t>Statewide – Demonstration Year</w:t>
      </w:r>
      <w:r w:rsidR="00AC2DFE">
        <w:rPr>
          <w:b/>
        </w:rPr>
        <w:t>s</w:t>
      </w:r>
      <w:r w:rsidR="008F2300">
        <w:rPr>
          <w:b/>
        </w:rPr>
        <w:t xml:space="preserve"> 6 and</w:t>
      </w:r>
      <w:r>
        <w:rPr>
          <w:b/>
        </w:rPr>
        <w:t xml:space="preserve"> 7</w:t>
      </w:r>
    </w:p>
    <w:p w14:paraId="187107C1" w14:textId="5D13A8FD" w:rsidR="00C45C99" w:rsidRPr="00D7339B" w:rsidRDefault="00C45C99" w:rsidP="00D7339B">
      <w:pPr>
        <w:pStyle w:val="ListParagraph"/>
        <w:numPr>
          <w:ilvl w:val="1"/>
          <w:numId w:val="49"/>
        </w:numPr>
        <w:ind w:left="1620" w:hanging="1170"/>
      </w:pPr>
      <w:r w:rsidRPr="00D7339B">
        <w:t>Demonstration Year</w:t>
      </w:r>
      <w:r w:rsidR="000C5CF8" w:rsidRPr="00D7339B">
        <w:t>s 6 and</w:t>
      </w:r>
      <w:r w:rsidRPr="00D7339B">
        <w:t xml:space="preserve"> 7: In Demonstration</w:t>
      </w:r>
      <w:r w:rsidR="00B45993" w:rsidRPr="00D7339B">
        <w:t xml:space="preserve"> Years 6 and 7</w:t>
      </w:r>
      <w:r w:rsidRPr="00D7339B">
        <w:t xml:space="preserve">, the statewide retrospective performance payment will be allocated as follows, </w:t>
      </w:r>
      <w:r w:rsidRPr="00D7339B">
        <w:rPr>
          <w:color w:val="000000"/>
        </w:rPr>
        <w:t>consistent with the approach taken in Demonstration Year 3 for Region 1</w:t>
      </w:r>
      <w:r w:rsidR="00372FAD" w:rsidRPr="00D7339B">
        <w:rPr>
          <w:color w:val="000000"/>
        </w:rPr>
        <w:t>, considering performance statewide.</w:t>
      </w:r>
    </w:p>
    <w:p w14:paraId="363C17D2" w14:textId="5E781A52" w:rsidR="00C45C99" w:rsidRPr="0041676F" w:rsidRDefault="00C45C99" w:rsidP="00D7339B">
      <w:pPr>
        <w:pStyle w:val="ListParagraph"/>
        <w:numPr>
          <w:ilvl w:val="2"/>
          <w:numId w:val="49"/>
        </w:numPr>
        <w:ind w:left="2160" w:hanging="990"/>
      </w:pPr>
      <w:r w:rsidRPr="00C45C99">
        <w:rPr>
          <w:bCs/>
        </w:rPr>
        <w:t>T</w:t>
      </w:r>
      <w:r>
        <w:rPr>
          <w:bCs/>
        </w:rPr>
        <w:t>he first component (60% of the statewide</w:t>
      </w:r>
      <w:r w:rsidRPr="00C45C99">
        <w:rPr>
          <w:bCs/>
        </w:rPr>
        <w:t xml:space="preserve"> retrospective performance </w:t>
      </w:r>
      <w:r w:rsidRPr="0041676F">
        <w:rPr>
          <w:bCs/>
        </w:rPr>
        <w:t xml:space="preserve">payment) will be distributed once CMS determines that the State has </w:t>
      </w:r>
      <w:r w:rsidRPr="0041676F">
        <w:rPr>
          <w:bCs/>
        </w:rPr>
        <w:lastRenderedPageBreak/>
        <w:t>scored a “met” on at least 50% of the “benchmark/improvement</w:t>
      </w:r>
      <w:r w:rsidR="00C5612C" w:rsidRPr="0041676F">
        <w:rPr>
          <w:bCs/>
        </w:rPr>
        <w:t xml:space="preserve">” measures included in </w:t>
      </w:r>
      <w:r w:rsidRPr="0041676F">
        <w:rPr>
          <w:bCs/>
        </w:rPr>
        <w:t>Demonstration Year</w:t>
      </w:r>
      <w:r w:rsidR="009019F1" w:rsidRPr="0041676F">
        <w:rPr>
          <w:bCs/>
        </w:rPr>
        <w:t>s 6 and</w:t>
      </w:r>
      <w:r w:rsidRPr="0041676F">
        <w:rPr>
          <w:bCs/>
        </w:rPr>
        <w:t xml:space="preserve"> </w:t>
      </w:r>
      <w:r w:rsidR="00C5612C" w:rsidRPr="0041676F">
        <w:rPr>
          <w:bCs/>
        </w:rPr>
        <w:t>7</w:t>
      </w:r>
      <w:r w:rsidRPr="0041676F">
        <w:rPr>
          <w:bCs/>
        </w:rPr>
        <w:t xml:space="preserve">. </w:t>
      </w:r>
      <w:r w:rsidRPr="0041676F">
        <w:t xml:space="preserve">If the State does not “meet” at least 50% of these measures, no payment will be made for this </w:t>
      </w:r>
      <w:r w:rsidRPr="0041676F">
        <w:rPr>
          <w:bCs/>
        </w:rPr>
        <w:t>component</w:t>
      </w:r>
      <w:r w:rsidR="0020142D" w:rsidRPr="0041676F">
        <w:rPr>
          <w:bCs/>
        </w:rPr>
        <w:t xml:space="preserve">. </w:t>
      </w:r>
      <w:r w:rsidR="00CD5C8B" w:rsidRPr="0041676F">
        <w:rPr>
          <w:bCs/>
        </w:rPr>
        <w:t>For Demonstration Year 7, given the COVID-19 public health emergency, the State will score a “met” on measures that are completely and accurately reported.</w:t>
      </w:r>
    </w:p>
    <w:p w14:paraId="5603E44D" w14:textId="05D666FD" w:rsidR="000D04DA" w:rsidRPr="0041676F" w:rsidRDefault="00C45C99" w:rsidP="00D7339B">
      <w:pPr>
        <w:pStyle w:val="ListParagraph"/>
        <w:numPr>
          <w:ilvl w:val="3"/>
          <w:numId w:val="49"/>
        </w:numPr>
        <w:ind w:left="2700" w:hanging="1260"/>
      </w:pPr>
      <w:r w:rsidRPr="0041676F">
        <w:rPr>
          <w:bCs/>
        </w:rPr>
        <w:t>Specifically</w:t>
      </w:r>
      <w:r w:rsidR="00FB48FF" w:rsidRPr="0041676F">
        <w:rPr>
          <w:bCs/>
        </w:rPr>
        <w:t>,</w:t>
      </w:r>
      <w:r w:rsidRPr="0041676F">
        <w:rPr>
          <w:bCs/>
        </w:rPr>
        <w:t xml:space="preserve"> for Demonstration Year</w:t>
      </w:r>
      <w:r w:rsidR="009019F1" w:rsidRPr="0041676F">
        <w:rPr>
          <w:bCs/>
        </w:rPr>
        <w:t xml:space="preserve"> 6</w:t>
      </w:r>
      <w:r w:rsidRPr="0041676F">
        <w:rPr>
          <w:bCs/>
        </w:rPr>
        <w:t xml:space="preserve"> the State will qualify for the first component (60% of the retrospective performance payment) once it has been determined that the State has met the benchmark or improvement goal for at least 50% (7) of the following 13 measures: A.1, A.2, A.3, A.4, A.8, A</w:t>
      </w:r>
      <w:r w:rsidR="006345C3" w:rsidRPr="0041676F">
        <w:rPr>
          <w:bCs/>
        </w:rPr>
        <w:t>.</w:t>
      </w:r>
      <w:r w:rsidRPr="0041676F">
        <w:rPr>
          <w:bCs/>
        </w:rPr>
        <w:t>9</w:t>
      </w:r>
      <w:r w:rsidR="006345C3" w:rsidRPr="0041676F">
        <w:rPr>
          <w:bCs/>
        </w:rPr>
        <w:t>,</w:t>
      </w:r>
      <w:r w:rsidRPr="0041676F">
        <w:rPr>
          <w:bCs/>
        </w:rPr>
        <w:t xml:space="preserve"> A.10, A.11, B.2, B.3, C.1, C.2 and C.3</w:t>
      </w:r>
      <w:r w:rsidRPr="0041676F">
        <w:rPr>
          <w:bCs/>
          <w:szCs w:val="24"/>
        </w:rPr>
        <w:t>, as listed in Table 1</w:t>
      </w:r>
      <w:r w:rsidRPr="0041676F">
        <w:rPr>
          <w:bCs/>
        </w:rPr>
        <w:t>.</w:t>
      </w:r>
      <w:r w:rsidR="00BB7569" w:rsidRPr="0041676F">
        <w:rPr>
          <w:bCs/>
        </w:rPr>
        <w:t xml:space="preserve">  For Demonstration Year 7, given the COVID-19 public health emergency, </w:t>
      </w:r>
      <w:r w:rsidR="00CD5C8B" w:rsidRPr="0041676F">
        <w:rPr>
          <w:bCs/>
        </w:rPr>
        <w:t xml:space="preserve">the </w:t>
      </w:r>
      <w:r w:rsidR="00CB1CC3" w:rsidRPr="0041676F">
        <w:rPr>
          <w:bCs/>
        </w:rPr>
        <w:t>St</w:t>
      </w:r>
      <w:r w:rsidR="00CD5C8B" w:rsidRPr="0041676F">
        <w:rPr>
          <w:bCs/>
        </w:rPr>
        <w:t>ate will qualify for the first component (60% of the retrospective performance payment) once it has been determined that the State has completely and accurately reported all measures.</w:t>
      </w:r>
    </w:p>
    <w:p w14:paraId="0D126C48" w14:textId="77777777" w:rsidR="000D04DA" w:rsidRDefault="00C45C99" w:rsidP="00D7339B">
      <w:pPr>
        <w:pStyle w:val="ListParagraph"/>
        <w:numPr>
          <w:ilvl w:val="2"/>
          <w:numId w:val="49"/>
        </w:numPr>
        <w:ind w:left="2160" w:hanging="990"/>
      </w:pPr>
      <w:r w:rsidRPr="00B015F5">
        <w:t xml:space="preserve">The second component (40% of the retrospective performance payment) is only available if the State has met the criteria for the first component. The second component will be distributed based on the number of percentage points above 50% of measures for which the State has scored a “met,” multiplied by </w:t>
      </w:r>
      <w:r w:rsidRPr="000D04DA">
        <w:rPr>
          <w:bCs/>
        </w:rPr>
        <w:t>(4/</w:t>
      </w:r>
      <w:r w:rsidRPr="00B015F5">
        <w:t>3</w:t>
      </w:r>
      <w:r w:rsidRPr="000D04DA">
        <w:rPr>
          <w:bCs/>
        </w:rPr>
        <w:t>),</w:t>
      </w:r>
      <w:r w:rsidRPr="00B015F5">
        <w:t xml:space="preserve"> including all measures included in </w:t>
      </w:r>
      <w:r w:rsidR="00C5612C">
        <w:t>Demonstration Year</w:t>
      </w:r>
      <w:r w:rsidR="009019F1">
        <w:t>s 6 and</w:t>
      </w:r>
      <w:r w:rsidR="00C5612C">
        <w:t xml:space="preserve"> 7</w:t>
      </w:r>
      <w:r w:rsidRPr="00B015F5">
        <w:t>, with each measure weighted equally. (For example, if the</w:t>
      </w:r>
      <w:r>
        <w:t xml:space="preserve"> State meets 60% of measures, it will qualify for one-third of this component. If the State meets 70% of measures, it will qualify for two-thirds of this component.) Meeting 80% or more of all measures would qualify the State for the maximum </w:t>
      </w:r>
      <w:r w:rsidRPr="00B015F5">
        <w:t>performance payment.</w:t>
      </w:r>
    </w:p>
    <w:p w14:paraId="681BA82C" w14:textId="6F5B2C1A" w:rsidR="000D04DA" w:rsidRPr="000D04DA" w:rsidRDefault="00C45C99" w:rsidP="00D7339B">
      <w:pPr>
        <w:pStyle w:val="ListParagraph"/>
        <w:numPr>
          <w:ilvl w:val="3"/>
          <w:numId w:val="49"/>
        </w:numPr>
        <w:ind w:left="2610" w:hanging="1170"/>
      </w:pPr>
      <w:r w:rsidRPr="000D04DA">
        <w:rPr>
          <w:color w:val="000000"/>
        </w:rPr>
        <w:t>Specifically, for Demonstration Year</w:t>
      </w:r>
      <w:r w:rsidR="009019F1" w:rsidRPr="000D04DA">
        <w:rPr>
          <w:color w:val="000000"/>
        </w:rPr>
        <w:t xml:space="preserve"> 6 </w:t>
      </w:r>
      <w:r w:rsidRPr="000D04DA">
        <w:rPr>
          <w:color w:val="000000"/>
        </w:rPr>
        <w:t xml:space="preserve">distribution of the second component is based on the number of measures for which the State </w:t>
      </w:r>
      <w:r w:rsidRPr="000D04DA">
        <w:rPr>
          <w:color w:val="000000"/>
        </w:rPr>
        <w:lastRenderedPageBreak/>
        <w:t>has met the benchmark or improvement goal (applicable for 13 measures A.1, A.2, A.3, A.4, A.8, A.9, A.10, A.11, B.2, B.3, C.1, C.2, and C.3)</w:t>
      </w:r>
      <w:r w:rsidRPr="000D04DA">
        <w:rPr>
          <w:bCs/>
          <w:szCs w:val="24"/>
        </w:rPr>
        <w:t>, as listed in Table 1</w:t>
      </w:r>
      <w:r w:rsidRPr="000D04DA">
        <w:rPr>
          <w:color w:val="000000"/>
        </w:rPr>
        <w:t xml:space="preserve">.  </w:t>
      </w:r>
      <w:r w:rsidRPr="00416456">
        <w:t>Measures that are not completely and accurately reported are scored as “not met</w:t>
      </w:r>
      <w:r w:rsidR="0020142D" w:rsidRPr="00416456">
        <w:t>.”</w:t>
      </w:r>
      <w:r w:rsidRPr="000D04DA">
        <w:rPr>
          <w:i/>
        </w:rPr>
        <w:t xml:space="preserve"> </w:t>
      </w:r>
      <w:r w:rsidRPr="000D04DA">
        <w:rPr>
          <w:color w:val="000000"/>
        </w:rPr>
        <w:t>Among these total 13 measures considered, the State qualifies for this component as follows:</w:t>
      </w:r>
    </w:p>
    <w:p w14:paraId="32075D27" w14:textId="77777777" w:rsidR="000D04DA" w:rsidRPr="000D04DA" w:rsidRDefault="00C45C99" w:rsidP="00D7339B">
      <w:pPr>
        <w:pStyle w:val="ListParagraph"/>
        <w:numPr>
          <w:ilvl w:val="4"/>
          <w:numId w:val="49"/>
        </w:numPr>
        <w:ind w:left="4230" w:hanging="1080"/>
      </w:pPr>
      <w:r w:rsidRPr="000D04DA">
        <w:rPr>
          <w:color w:val="000000"/>
        </w:rPr>
        <w:t>Meets 11 or more measures – qualifies for the full 40% (100% of this component).</w:t>
      </w:r>
    </w:p>
    <w:p w14:paraId="69A7C889" w14:textId="77777777" w:rsidR="000D04DA" w:rsidRPr="000D04DA" w:rsidRDefault="00C45C99" w:rsidP="00D7339B">
      <w:pPr>
        <w:pStyle w:val="ListParagraph"/>
        <w:numPr>
          <w:ilvl w:val="4"/>
          <w:numId w:val="49"/>
        </w:numPr>
        <w:ind w:left="4230" w:hanging="1080"/>
      </w:pPr>
      <w:r w:rsidRPr="000D04DA">
        <w:rPr>
          <w:color w:val="000000"/>
        </w:rPr>
        <w:t>Meets 10 measures – qualifies for 36% (90% of this component).</w:t>
      </w:r>
    </w:p>
    <w:p w14:paraId="6A15F17E" w14:textId="77777777" w:rsidR="000D04DA" w:rsidRPr="000D04DA" w:rsidRDefault="00C45C99" w:rsidP="00D7339B">
      <w:pPr>
        <w:pStyle w:val="ListParagraph"/>
        <w:numPr>
          <w:ilvl w:val="4"/>
          <w:numId w:val="49"/>
        </w:numPr>
        <w:ind w:left="4230" w:hanging="1080"/>
      </w:pPr>
      <w:r w:rsidRPr="000D04DA">
        <w:rPr>
          <w:color w:val="000000"/>
        </w:rPr>
        <w:t>Meets 9 measures – qualifies for 26% (64% of this component).</w:t>
      </w:r>
    </w:p>
    <w:p w14:paraId="26C22507" w14:textId="77777777" w:rsidR="000D04DA" w:rsidRPr="000D04DA" w:rsidRDefault="00C45C99" w:rsidP="00D7339B">
      <w:pPr>
        <w:pStyle w:val="ListParagraph"/>
        <w:numPr>
          <w:ilvl w:val="4"/>
          <w:numId w:val="49"/>
        </w:numPr>
        <w:ind w:left="4230" w:hanging="1080"/>
      </w:pPr>
      <w:r w:rsidRPr="000D04DA">
        <w:rPr>
          <w:color w:val="000000"/>
        </w:rPr>
        <w:t>Meets 8 measures – qualifies for 15% (38% of this component).</w:t>
      </w:r>
    </w:p>
    <w:p w14:paraId="7498113B" w14:textId="77777777" w:rsidR="000D04DA" w:rsidRPr="000D04DA" w:rsidRDefault="00C45C99" w:rsidP="00D7339B">
      <w:pPr>
        <w:pStyle w:val="ListParagraph"/>
        <w:numPr>
          <w:ilvl w:val="4"/>
          <w:numId w:val="49"/>
        </w:numPr>
        <w:ind w:left="4230" w:hanging="1080"/>
      </w:pPr>
      <w:r w:rsidRPr="000D04DA">
        <w:rPr>
          <w:color w:val="000000"/>
        </w:rPr>
        <w:t>Meets 7 measures – qualifies for 5% (13% of this component).</w:t>
      </w:r>
    </w:p>
    <w:p w14:paraId="284EB873" w14:textId="77777777" w:rsidR="000D04DA" w:rsidRPr="000D04DA" w:rsidRDefault="00C45C99" w:rsidP="00D7339B">
      <w:pPr>
        <w:pStyle w:val="ListParagraph"/>
        <w:numPr>
          <w:ilvl w:val="4"/>
          <w:numId w:val="49"/>
        </w:numPr>
        <w:ind w:left="4230" w:hanging="1080"/>
      </w:pPr>
      <w:r w:rsidRPr="000D04DA">
        <w:rPr>
          <w:color w:val="000000"/>
        </w:rPr>
        <w:t>Meets 6 or fewer measures – qualifies for 0% of this component.</w:t>
      </w:r>
    </w:p>
    <w:p w14:paraId="07492F09" w14:textId="29FE0EB2" w:rsidR="000D04DA" w:rsidRPr="0041676F" w:rsidRDefault="00CD5C8B" w:rsidP="00D7339B">
      <w:pPr>
        <w:pStyle w:val="ListParagraph"/>
        <w:numPr>
          <w:ilvl w:val="3"/>
          <w:numId w:val="49"/>
        </w:numPr>
        <w:ind w:left="2700" w:hanging="1260"/>
      </w:pPr>
      <w:r w:rsidRPr="0041676F">
        <w:rPr>
          <w:color w:val="000000"/>
        </w:rPr>
        <w:t>Specifically, for Demonstration Year 7,  distribution of the second component is based on the number of measures for which the State has completely and accurately reported (applicable for 13 measures A.1, A.2, A.3, A.4, A.8, A.9, A.10, A.11, B.2, B.3, C.1, C.2, and C.3)</w:t>
      </w:r>
      <w:r w:rsidRPr="0041676F">
        <w:rPr>
          <w:bCs/>
          <w:szCs w:val="24"/>
        </w:rPr>
        <w:t>, as listed in Table 1</w:t>
      </w:r>
      <w:r w:rsidR="0020142D"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13 measures considered, the State qualifies for this component as follows:</w:t>
      </w:r>
    </w:p>
    <w:p w14:paraId="0A0AEBC7" w14:textId="77777777" w:rsidR="000D04DA" w:rsidRPr="0041676F" w:rsidRDefault="00DF24E9" w:rsidP="00D7339B">
      <w:pPr>
        <w:pStyle w:val="ListParagraph"/>
        <w:numPr>
          <w:ilvl w:val="4"/>
          <w:numId w:val="49"/>
        </w:numPr>
        <w:ind w:left="4140" w:hanging="990"/>
      </w:pPr>
      <w:r w:rsidRPr="0041676F">
        <w:rPr>
          <w:color w:val="000000"/>
        </w:rPr>
        <w:lastRenderedPageBreak/>
        <w:t>Meets 11 or more measures – qualifies for the full 40% (100% of this component).</w:t>
      </w:r>
    </w:p>
    <w:p w14:paraId="32C10050" w14:textId="77777777" w:rsidR="000D04DA" w:rsidRPr="0041676F" w:rsidRDefault="00DF24E9" w:rsidP="00D7339B">
      <w:pPr>
        <w:pStyle w:val="ListParagraph"/>
        <w:numPr>
          <w:ilvl w:val="4"/>
          <w:numId w:val="49"/>
        </w:numPr>
        <w:ind w:left="4140" w:hanging="990"/>
      </w:pPr>
      <w:r w:rsidRPr="0041676F">
        <w:rPr>
          <w:color w:val="000000"/>
        </w:rPr>
        <w:t>Meets 10 measures – qualifies for 36% (90% of this component).</w:t>
      </w:r>
    </w:p>
    <w:p w14:paraId="35363E95" w14:textId="77777777" w:rsidR="000D04DA" w:rsidRPr="0041676F" w:rsidRDefault="00DF24E9" w:rsidP="00D7339B">
      <w:pPr>
        <w:pStyle w:val="ListParagraph"/>
        <w:numPr>
          <w:ilvl w:val="4"/>
          <w:numId w:val="49"/>
        </w:numPr>
        <w:ind w:left="4140" w:hanging="990"/>
      </w:pPr>
      <w:r w:rsidRPr="0041676F">
        <w:rPr>
          <w:color w:val="000000"/>
        </w:rPr>
        <w:t>Meets 9 measures – qualifies for 26% (64% of this component).</w:t>
      </w:r>
    </w:p>
    <w:p w14:paraId="66DEC17C" w14:textId="77777777" w:rsidR="000D04DA" w:rsidRPr="0041676F" w:rsidRDefault="00DF24E9" w:rsidP="00D7339B">
      <w:pPr>
        <w:pStyle w:val="ListParagraph"/>
        <w:numPr>
          <w:ilvl w:val="4"/>
          <w:numId w:val="49"/>
        </w:numPr>
        <w:ind w:left="4140" w:hanging="990"/>
      </w:pPr>
      <w:r w:rsidRPr="0041676F">
        <w:rPr>
          <w:color w:val="000000"/>
        </w:rPr>
        <w:t xml:space="preserve">Meets 8 measures – qualifies for 15% (38% of this component). </w:t>
      </w:r>
    </w:p>
    <w:p w14:paraId="644260F8" w14:textId="77777777" w:rsidR="000D04DA" w:rsidRPr="0041676F" w:rsidRDefault="00DF24E9" w:rsidP="00D7339B">
      <w:pPr>
        <w:pStyle w:val="ListParagraph"/>
        <w:numPr>
          <w:ilvl w:val="4"/>
          <w:numId w:val="49"/>
        </w:numPr>
        <w:ind w:left="4140" w:hanging="990"/>
      </w:pPr>
      <w:r w:rsidRPr="0041676F">
        <w:rPr>
          <w:color w:val="000000"/>
        </w:rPr>
        <w:t>Meets 7 measures – qualifies for 5% (13% of this component).</w:t>
      </w:r>
    </w:p>
    <w:p w14:paraId="02F4EA1E" w14:textId="77777777" w:rsidR="000D04DA" w:rsidRPr="0041676F" w:rsidRDefault="00DF24E9" w:rsidP="00D7339B">
      <w:pPr>
        <w:pStyle w:val="ListParagraph"/>
        <w:numPr>
          <w:ilvl w:val="4"/>
          <w:numId w:val="49"/>
        </w:numPr>
        <w:ind w:left="4140" w:hanging="990"/>
      </w:pPr>
      <w:r w:rsidRPr="0041676F">
        <w:rPr>
          <w:color w:val="000000"/>
        </w:rPr>
        <w:t>Meets 6 or fewer measures – qualifies for 0% of this component.</w:t>
      </w:r>
    </w:p>
    <w:p w14:paraId="1431C4F4" w14:textId="3C898660" w:rsidR="00C45C99" w:rsidRPr="00B015F5" w:rsidRDefault="00C45C99" w:rsidP="00D7339B">
      <w:pPr>
        <w:pStyle w:val="ListParagraph"/>
        <w:numPr>
          <w:ilvl w:val="1"/>
          <w:numId w:val="49"/>
        </w:numPr>
        <w:ind w:left="1620" w:hanging="1170"/>
      </w:pPr>
      <w:r w:rsidRPr="000D04DA">
        <w:rPr>
          <w:color w:val="000000"/>
        </w:rPr>
        <w:t xml:space="preserve">Table </w:t>
      </w:r>
      <w:r w:rsidR="00C5612C" w:rsidRPr="000D04DA">
        <w:rPr>
          <w:color w:val="000000"/>
        </w:rPr>
        <w:t>5</w:t>
      </w:r>
      <w:r w:rsidRPr="000D04DA">
        <w:rPr>
          <w:color w:val="000000"/>
        </w:rPr>
        <w:t xml:space="preserve"> below indicates what percent of the total available </w:t>
      </w:r>
      <w:r w:rsidR="00C5612C" w:rsidRPr="000D04DA">
        <w:rPr>
          <w:color w:val="000000"/>
        </w:rPr>
        <w:t>statewide</w:t>
      </w:r>
      <w:r w:rsidRPr="000D04DA">
        <w:rPr>
          <w:color w:val="000000"/>
        </w:rPr>
        <w:t xml:space="preserve"> performance payment the State is eligible to receive based on its performance on the quality measures, as described in IV.J.3.b.vi. To the extent all measures are not reported completely and accurately, the available performance payment will vary from that shown in Table </w:t>
      </w:r>
      <w:r w:rsidR="00C5612C" w:rsidRPr="000D04DA">
        <w:rPr>
          <w:color w:val="000000"/>
        </w:rPr>
        <w:t>5</w:t>
      </w:r>
      <w:r w:rsidRPr="000D04DA">
        <w:rPr>
          <w:color w:val="000000"/>
        </w:rPr>
        <w:t>.</w:t>
      </w:r>
      <w:r w:rsidRPr="00B015F5">
        <w:t xml:space="preserve"> </w:t>
      </w:r>
    </w:p>
    <w:p w14:paraId="545D7139" w14:textId="2ADD6301" w:rsidR="00C45C99" w:rsidRDefault="00C45C9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240"/>
        <w:rPr>
          <w:b/>
          <w:color w:val="000000"/>
        </w:rPr>
      </w:pPr>
      <w:r w:rsidRPr="00B015F5">
        <w:rPr>
          <w:b/>
          <w:color w:val="000000"/>
        </w:rPr>
        <w:t xml:space="preserve">Table </w:t>
      </w:r>
      <w:r w:rsidR="00C5612C">
        <w:rPr>
          <w:b/>
          <w:color w:val="000000"/>
        </w:rPr>
        <w:t>5</w:t>
      </w:r>
      <w:r w:rsidRPr="00B015F5">
        <w:rPr>
          <w:b/>
          <w:color w:val="000000"/>
        </w:rPr>
        <w:t xml:space="preserve"> – </w:t>
      </w:r>
      <w:r>
        <w:rPr>
          <w:b/>
          <w:color w:val="000000"/>
        </w:rPr>
        <w:t>Demonstration Year</w:t>
      </w:r>
      <w:r w:rsidR="000C5CF8">
        <w:rPr>
          <w:b/>
          <w:color w:val="000000"/>
        </w:rPr>
        <w:t>s 6 and</w:t>
      </w:r>
      <w:r>
        <w:rPr>
          <w:b/>
          <w:color w:val="000000"/>
        </w:rPr>
        <w:t xml:space="preserve"> 7 Statewide </w:t>
      </w:r>
      <w:r w:rsidRPr="00B015F5">
        <w:rPr>
          <w:b/>
          <w:color w:val="000000"/>
        </w:rPr>
        <w:t xml:space="preserve">Available Performance Payment Based on Quality Measure Performance </w:t>
      </w:r>
    </w:p>
    <w:tbl>
      <w:tblPr>
        <w:tblStyle w:val="TableGrid"/>
        <w:tblW w:w="0" w:type="auto"/>
        <w:tblLook w:val="04A0" w:firstRow="1" w:lastRow="0" w:firstColumn="1" w:lastColumn="0" w:noHBand="0" w:noVBand="1"/>
        <w:tblCaption w:val="Table 5- Demonstration Years 6 and 7 Statewide Available Performance Payment Based on Quality Measure Performance"/>
        <w:tblDescription w:val="Table 5 – Statewide Available Performance Payment Based on Quality Measure Performance including demonstration years 6 through 7, number of reported only measures, number of benchmarked measures, number of benchmarks met, and total available performance payment"/>
      </w:tblPr>
      <w:tblGrid>
        <w:gridCol w:w="1870"/>
        <w:gridCol w:w="1870"/>
        <w:gridCol w:w="1870"/>
        <w:gridCol w:w="1870"/>
        <w:gridCol w:w="1870"/>
      </w:tblGrid>
      <w:tr w:rsidR="009019F1" w14:paraId="24E3D394" w14:textId="77777777" w:rsidTr="00640313">
        <w:trPr>
          <w:trHeight w:val="773"/>
        </w:trPr>
        <w:tc>
          <w:tcPr>
            <w:tcW w:w="1870" w:type="dxa"/>
          </w:tcPr>
          <w:p w14:paraId="7F1F4131" w14:textId="136A853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
                <w:bCs/>
                <w:color w:val="000000"/>
                <w:sz w:val="22"/>
                <w:szCs w:val="22"/>
              </w:rPr>
              <w:t>Demonstration Year</w:t>
            </w:r>
          </w:p>
        </w:tc>
        <w:tc>
          <w:tcPr>
            <w:tcW w:w="1870" w:type="dxa"/>
          </w:tcPr>
          <w:p w14:paraId="6D14FEBE" w14:textId="4C5AEEC0"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Reported Only Measures</w:t>
            </w:r>
          </w:p>
        </w:tc>
        <w:tc>
          <w:tcPr>
            <w:tcW w:w="1870" w:type="dxa"/>
          </w:tcPr>
          <w:p w14:paraId="597DA84C" w14:textId="57862BFE"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Benchmarked Measures</w:t>
            </w:r>
          </w:p>
        </w:tc>
        <w:tc>
          <w:tcPr>
            <w:tcW w:w="1870" w:type="dxa"/>
          </w:tcPr>
          <w:p w14:paraId="44AE4D64" w14:textId="51528CDC"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Benchmarks Met</w:t>
            </w:r>
          </w:p>
        </w:tc>
        <w:tc>
          <w:tcPr>
            <w:tcW w:w="1870" w:type="dxa"/>
          </w:tcPr>
          <w:p w14:paraId="6DDBD0BD" w14:textId="66F2A8BD"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Total Available Performance Payment*</w:t>
            </w:r>
          </w:p>
        </w:tc>
      </w:tr>
      <w:tr w:rsidR="009019F1" w14:paraId="1B15E33A" w14:textId="77777777" w:rsidTr="00D7339B">
        <w:trPr>
          <w:trHeight w:val="260"/>
        </w:trPr>
        <w:tc>
          <w:tcPr>
            <w:tcW w:w="1870" w:type="dxa"/>
          </w:tcPr>
          <w:p w14:paraId="5338A46A" w14:textId="613A824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3F085392" w14:textId="38CB4898"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0</w:t>
            </w:r>
          </w:p>
        </w:tc>
        <w:tc>
          <w:tcPr>
            <w:tcW w:w="1870" w:type="dxa"/>
          </w:tcPr>
          <w:p w14:paraId="3D7AD271" w14:textId="69ACB892"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13</w:t>
            </w:r>
          </w:p>
        </w:tc>
        <w:tc>
          <w:tcPr>
            <w:tcW w:w="1870" w:type="dxa"/>
          </w:tcPr>
          <w:p w14:paraId="2BE8210E" w14:textId="2231B293"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11+</w:t>
            </w:r>
          </w:p>
        </w:tc>
        <w:tc>
          <w:tcPr>
            <w:tcW w:w="1870" w:type="dxa"/>
          </w:tcPr>
          <w:p w14:paraId="0348CE10" w14:textId="679C7CB4"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100%</w:t>
            </w:r>
          </w:p>
        </w:tc>
      </w:tr>
      <w:tr w:rsidR="009019F1" w14:paraId="5437C7AB" w14:textId="77777777" w:rsidTr="009019F1">
        <w:tc>
          <w:tcPr>
            <w:tcW w:w="1870" w:type="dxa"/>
          </w:tcPr>
          <w:p w14:paraId="31BAF061" w14:textId="0F23D70B"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6BA48E94" w14:textId="7968F448"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0</w:t>
            </w:r>
          </w:p>
        </w:tc>
        <w:tc>
          <w:tcPr>
            <w:tcW w:w="1870" w:type="dxa"/>
          </w:tcPr>
          <w:p w14:paraId="22FEBFB3" w14:textId="4A7067C4"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13</w:t>
            </w:r>
          </w:p>
        </w:tc>
        <w:tc>
          <w:tcPr>
            <w:tcW w:w="1870" w:type="dxa"/>
          </w:tcPr>
          <w:p w14:paraId="220CFA4A" w14:textId="55499C8C"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10</w:t>
            </w:r>
          </w:p>
        </w:tc>
        <w:tc>
          <w:tcPr>
            <w:tcW w:w="1870" w:type="dxa"/>
          </w:tcPr>
          <w:p w14:paraId="66EAAE90" w14:textId="0407989B"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96%</w:t>
            </w:r>
          </w:p>
        </w:tc>
      </w:tr>
      <w:tr w:rsidR="009019F1" w14:paraId="4CE3435C" w14:textId="77777777" w:rsidTr="009019F1">
        <w:tc>
          <w:tcPr>
            <w:tcW w:w="1870" w:type="dxa"/>
          </w:tcPr>
          <w:p w14:paraId="7AF3C089" w14:textId="2C8E53DB"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742E4AAB" w14:textId="32761B72"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2EF3688D" w14:textId="7807B38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4AFEA863" w14:textId="5A7F87C7"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9</w:t>
            </w:r>
          </w:p>
        </w:tc>
        <w:tc>
          <w:tcPr>
            <w:tcW w:w="1870" w:type="dxa"/>
          </w:tcPr>
          <w:p w14:paraId="268EBC87" w14:textId="6988C49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86%</w:t>
            </w:r>
          </w:p>
        </w:tc>
      </w:tr>
      <w:tr w:rsidR="009019F1" w14:paraId="6C396175" w14:textId="77777777" w:rsidTr="009019F1">
        <w:tc>
          <w:tcPr>
            <w:tcW w:w="1870" w:type="dxa"/>
          </w:tcPr>
          <w:p w14:paraId="459C02BA" w14:textId="3F3B3567"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0D217F67" w14:textId="3EEBCDBF"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5921401F" w14:textId="7740E4E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6BA5DDD2" w14:textId="0F99C3C4"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8</w:t>
            </w:r>
          </w:p>
        </w:tc>
        <w:tc>
          <w:tcPr>
            <w:tcW w:w="1870" w:type="dxa"/>
          </w:tcPr>
          <w:p w14:paraId="553BA518" w14:textId="18F7EDE1"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75%</w:t>
            </w:r>
          </w:p>
        </w:tc>
      </w:tr>
      <w:tr w:rsidR="009019F1" w14:paraId="25E5EBD4" w14:textId="77777777" w:rsidTr="009019F1">
        <w:tc>
          <w:tcPr>
            <w:tcW w:w="1870" w:type="dxa"/>
          </w:tcPr>
          <w:p w14:paraId="705CBA3D" w14:textId="4E37EC5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3061B65D" w14:textId="7A6D82A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2F9DDF89" w14:textId="5639A65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569544C3" w14:textId="7CB0476D"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7</w:t>
            </w:r>
          </w:p>
        </w:tc>
        <w:tc>
          <w:tcPr>
            <w:tcW w:w="1870" w:type="dxa"/>
          </w:tcPr>
          <w:p w14:paraId="377BDD4F" w14:textId="11B1144A"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65%</w:t>
            </w:r>
          </w:p>
        </w:tc>
      </w:tr>
      <w:tr w:rsidR="009019F1" w14:paraId="1F874783" w14:textId="77777777" w:rsidTr="009019F1">
        <w:tc>
          <w:tcPr>
            <w:tcW w:w="1870" w:type="dxa"/>
          </w:tcPr>
          <w:p w14:paraId="0094EC7A" w14:textId="4A094CDD"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6C40AA3B" w14:textId="51641FB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07CF9632" w14:textId="09229318"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41C1A573" w14:textId="0E71B5BF"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&lt;7</w:t>
            </w:r>
          </w:p>
        </w:tc>
        <w:tc>
          <w:tcPr>
            <w:tcW w:w="1870" w:type="dxa"/>
          </w:tcPr>
          <w:p w14:paraId="3CF509D7" w14:textId="3B561270"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r>
      <w:tr w:rsidR="00DF24E9" w14:paraId="770CA1CF" w14:textId="77777777" w:rsidTr="009019F1">
        <w:tc>
          <w:tcPr>
            <w:tcW w:w="1870" w:type="dxa"/>
          </w:tcPr>
          <w:p w14:paraId="3A262169" w14:textId="655ED232"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7</w:t>
            </w:r>
          </w:p>
        </w:tc>
        <w:tc>
          <w:tcPr>
            <w:tcW w:w="1870" w:type="dxa"/>
          </w:tcPr>
          <w:p w14:paraId="63DC8A84" w14:textId="3CBE63BC"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13</w:t>
            </w:r>
          </w:p>
        </w:tc>
        <w:tc>
          <w:tcPr>
            <w:tcW w:w="1870" w:type="dxa"/>
          </w:tcPr>
          <w:p w14:paraId="1EBACDD6" w14:textId="2B3B46A4"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0</w:t>
            </w:r>
          </w:p>
        </w:tc>
        <w:tc>
          <w:tcPr>
            <w:tcW w:w="1870" w:type="dxa"/>
          </w:tcPr>
          <w:p w14:paraId="7F774316" w14:textId="50192548"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N/A</w:t>
            </w:r>
          </w:p>
        </w:tc>
        <w:tc>
          <w:tcPr>
            <w:tcW w:w="1870" w:type="dxa"/>
          </w:tcPr>
          <w:p w14:paraId="1D55939D" w14:textId="4C33AF7B"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100%</w:t>
            </w:r>
          </w:p>
        </w:tc>
      </w:tr>
    </w:tbl>
    <w:p w14:paraId="72C756DF" w14:textId="73FF058D" w:rsidR="0002467C" w:rsidRPr="0041676F" w:rsidRDefault="00C45C99"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 xml:space="preserve">*Note: Table </w:t>
      </w:r>
      <w:r w:rsidR="00C5612C">
        <w:rPr>
          <w:color w:val="000000"/>
          <w:sz w:val="20"/>
          <w:szCs w:val="20"/>
        </w:rPr>
        <w:t>5</w:t>
      </w:r>
      <w:r w:rsidRPr="00B015F5">
        <w:rPr>
          <w:color w:val="000000"/>
          <w:sz w:val="20"/>
          <w:szCs w:val="20"/>
        </w:rPr>
        <w:t xml:space="preserve"> </w:t>
      </w:r>
      <w:r w:rsidRPr="0041676F">
        <w:rPr>
          <w:color w:val="000000"/>
          <w:sz w:val="20"/>
          <w:szCs w:val="20"/>
        </w:rPr>
        <w:t>assumes all measures are completely and accurately reported.</w:t>
      </w:r>
    </w:p>
    <w:p w14:paraId="49E6B205" w14:textId="0985737B" w:rsidR="0002467C" w:rsidRPr="0041676F" w:rsidRDefault="0002467C" w:rsidP="00DF24E9">
      <w:pPr>
        <w:pStyle w:val="ListParagraph"/>
        <w:numPr>
          <w:ilvl w:val="0"/>
          <w:numId w:val="49"/>
        </w:numPr>
        <w:rPr>
          <w:b/>
        </w:rPr>
      </w:pPr>
      <w:r w:rsidRPr="0041676F">
        <w:rPr>
          <w:b/>
        </w:rPr>
        <w:lastRenderedPageBreak/>
        <w:t>Statewide – Demonstration Year</w:t>
      </w:r>
      <w:r w:rsidR="00DE2ACB">
        <w:rPr>
          <w:b/>
        </w:rPr>
        <w:t>s</w:t>
      </w:r>
      <w:r w:rsidRPr="0041676F">
        <w:rPr>
          <w:b/>
        </w:rPr>
        <w:t xml:space="preserve"> 8 </w:t>
      </w:r>
      <w:r w:rsidR="00DE2ACB">
        <w:rPr>
          <w:b/>
        </w:rPr>
        <w:t>through 1</w:t>
      </w:r>
      <w:r w:rsidR="00EE22C2">
        <w:rPr>
          <w:b/>
        </w:rPr>
        <w:t>1</w:t>
      </w:r>
    </w:p>
    <w:p w14:paraId="32483485" w14:textId="00FA6600" w:rsidR="0002467C" w:rsidRPr="00D7339B" w:rsidRDefault="0002467C" w:rsidP="00D7339B">
      <w:pPr>
        <w:pStyle w:val="ListParagraph"/>
        <w:numPr>
          <w:ilvl w:val="1"/>
          <w:numId w:val="49"/>
        </w:numPr>
        <w:ind w:left="1530" w:hanging="1080"/>
      </w:pPr>
      <w:r w:rsidRPr="00D7339B">
        <w:t xml:space="preserve">Demonstration Years 8 </w:t>
      </w:r>
      <w:r w:rsidR="00DE2ACB" w:rsidRPr="00D7339B">
        <w:t>through 1</w:t>
      </w:r>
      <w:r w:rsidR="00EE22C2" w:rsidRPr="00D7339B">
        <w:t>1</w:t>
      </w:r>
      <w:r w:rsidRPr="00D7339B">
        <w:t xml:space="preserve">: In Demonstration Years 8 </w:t>
      </w:r>
      <w:r w:rsidR="00DE2ACB" w:rsidRPr="00D7339B">
        <w:t xml:space="preserve">through </w:t>
      </w:r>
      <w:r w:rsidR="00EE22C2" w:rsidRPr="00D7339B">
        <w:t>11</w:t>
      </w:r>
      <w:r w:rsidRPr="00D7339B">
        <w:t xml:space="preserve">, the statewide retrospective performance payment will be allocated as follows, </w:t>
      </w:r>
      <w:r w:rsidRPr="00D7339B">
        <w:rPr>
          <w:color w:val="000000"/>
        </w:rPr>
        <w:t>consistent with the approach taken in Demonstration Year 3 for Region 1, considering performance statewide.</w:t>
      </w:r>
    </w:p>
    <w:p w14:paraId="78B23D36" w14:textId="373D7D69" w:rsidR="000D04DA" w:rsidRPr="0041676F" w:rsidRDefault="0002467C" w:rsidP="000136EC">
      <w:pPr>
        <w:pStyle w:val="ListParagraph"/>
        <w:numPr>
          <w:ilvl w:val="2"/>
          <w:numId w:val="49"/>
        </w:numPr>
        <w:ind w:left="2070" w:hanging="900"/>
      </w:pPr>
      <w:r w:rsidRPr="0041676F">
        <w:rPr>
          <w:bCs/>
        </w:rPr>
        <w:t xml:space="preserve">The first component (60% of the statewide retrospective performance payment) will be distributed once CMS determines that the State has scored a “met” on at least 50% of the “benchmark/improvement” measures included in Demonstration Years 8 </w:t>
      </w:r>
      <w:r w:rsidR="00090F87">
        <w:rPr>
          <w:bCs/>
        </w:rPr>
        <w:t>through 1</w:t>
      </w:r>
      <w:r w:rsidR="00EE22C2">
        <w:rPr>
          <w:bCs/>
        </w:rPr>
        <w:t>1</w:t>
      </w:r>
      <w:r w:rsidRPr="0041676F">
        <w:rPr>
          <w:bCs/>
        </w:rPr>
        <w:t xml:space="preserve">. </w:t>
      </w:r>
      <w:r w:rsidRPr="0041676F">
        <w:t xml:space="preserve">If the State does not “meet” at least 50% of these measures, no payment will be made for this </w:t>
      </w:r>
      <w:r w:rsidRPr="0041676F">
        <w:rPr>
          <w:bCs/>
        </w:rPr>
        <w:t>component.</w:t>
      </w:r>
      <w:r w:rsidR="00090F87" w:rsidRPr="00090F87">
        <w:rPr>
          <w:bCs/>
        </w:rPr>
        <w:t xml:space="preserve"> </w:t>
      </w:r>
      <w:r w:rsidR="00090F87" w:rsidRPr="0041676F">
        <w:rPr>
          <w:bCs/>
        </w:rPr>
        <w:t>For Demonstration Year</w:t>
      </w:r>
      <w:r w:rsidR="00EE22C2">
        <w:rPr>
          <w:bCs/>
        </w:rPr>
        <w:t>s</w:t>
      </w:r>
      <w:r w:rsidR="00090F87" w:rsidRPr="0041676F">
        <w:rPr>
          <w:bCs/>
        </w:rPr>
        <w:t xml:space="preserve"> </w:t>
      </w:r>
      <w:r w:rsidR="00090F87">
        <w:rPr>
          <w:bCs/>
        </w:rPr>
        <w:t>8</w:t>
      </w:r>
      <w:r w:rsidR="00EE22C2">
        <w:rPr>
          <w:bCs/>
        </w:rPr>
        <w:t xml:space="preserve"> and 9</w:t>
      </w:r>
      <w:r w:rsidR="00090F87" w:rsidRPr="0041676F">
        <w:rPr>
          <w:bCs/>
        </w:rPr>
        <w:t>, given the COVID-19 public health emergency, the State will score a “met” on measures that are completely and accurately reported.</w:t>
      </w:r>
    </w:p>
    <w:p w14:paraId="2B2F3C21" w14:textId="1EABB854" w:rsidR="000D04DA" w:rsidRPr="0041676F" w:rsidRDefault="0002467C" w:rsidP="000136EC">
      <w:pPr>
        <w:pStyle w:val="ListParagraph"/>
        <w:numPr>
          <w:ilvl w:val="3"/>
          <w:numId w:val="49"/>
        </w:numPr>
        <w:ind w:left="2700" w:hanging="1260"/>
      </w:pPr>
      <w:r w:rsidRPr="0041676F">
        <w:rPr>
          <w:bCs/>
        </w:rPr>
        <w:t>Specifically</w:t>
      </w:r>
      <w:r w:rsidR="000D04DA" w:rsidRPr="0041676F">
        <w:rPr>
          <w:bCs/>
        </w:rPr>
        <w:t>,</w:t>
      </w:r>
      <w:r w:rsidRPr="0041676F">
        <w:rPr>
          <w:bCs/>
        </w:rPr>
        <w:t xml:space="preserve"> for Demonstration Year</w:t>
      </w:r>
      <w:r w:rsidR="00EE22C2">
        <w:rPr>
          <w:bCs/>
        </w:rPr>
        <w:t>s</w:t>
      </w:r>
      <w:r w:rsidRPr="0041676F">
        <w:rPr>
          <w:bCs/>
        </w:rPr>
        <w:t xml:space="preserve"> 8</w:t>
      </w:r>
      <w:r w:rsidR="00EE22C2">
        <w:rPr>
          <w:bCs/>
        </w:rPr>
        <w:t xml:space="preserve"> and 9</w:t>
      </w:r>
      <w:r w:rsidRPr="0041676F">
        <w:rPr>
          <w:bCs/>
        </w:rPr>
        <w:t xml:space="preserve">, </w:t>
      </w:r>
      <w:r w:rsidR="00090F87" w:rsidRPr="0041676F">
        <w:rPr>
          <w:bCs/>
        </w:rPr>
        <w:t>given the COVID-19 public health emergency, the State will qualify for the first component (60% of the retrospective performance payment) once it has been determined that the State has completely and accurately reported all measures.</w:t>
      </w:r>
    </w:p>
    <w:p w14:paraId="70F4451B" w14:textId="60034D00" w:rsidR="000D04DA" w:rsidRPr="0041676F" w:rsidRDefault="0002467C" w:rsidP="000136EC">
      <w:pPr>
        <w:pStyle w:val="ListParagraph"/>
        <w:numPr>
          <w:ilvl w:val="3"/>
          <w:numId w:val="49"/>
        </w:numPr>
        <w:ind w:left="2700" w:hanging="1260"/>
      </w:pPr>
      <w:r w:rsidRPr="0041676F">
        <w:rPr>
          <w:bCs/>
        </w:rPr>
        <w:t>Specifically</w:t>
      </w:r>
      <w:r w:rsidR="000D04DA" w:rsidRPr="0041676F">
        <w:rPr>
          <w:bCs/>
        </w:rPr>
        <w:t>,</w:t>
      </w:r>
      <w:r w:rsidRPr="0041676F">
        <w:rPr>
          <w:bCs/>
        </w:rPr>
        <w:t xml:space="preserve"> for Demonstration Year</w:t>
      </w:r>
      <w:r w:rsidR="00DE2ACB">
        <w:rPr>
          <w:bCs/>
        </w:rPr>
        <w:t>s</w:t>
      </w:r>
      <w:r w:rsidRPr="0041676F">
        <w:rPr>
          <w:bCs/>
        </w:rPr>
        <w:t xml:space="preserve"> </w:t>
      </w:r>
      <w:r w:rsidR="00DE2ACB">
        <w:rPr>
          <w:bCs/>
        </w:rPr>
        <w:t xml:space="preserve"> 10</w:t>
      </w:r>
      <w:r w:rsidR="00EE22C2">
        <w:rPr>
          <w:bCs/>
        </w:rPr>
        <w:t xml:space="preserve"> and 11</w:t>
      </w:r>
      <w:r w:rsidRPr="0041676F">
        <w:rPr>
          <w:bCs/>
        </w:rPr>
        <w:t>, the State will qualify for the first component (60% of the retrospective performance payment) once it has been determined that the State has met the benchmark or improvement goal for at least 50% (7) of the following 14 measures: A.1, A.2, A.3, A.4, A.8, A.9. A.10, A.11, B.2, B.3, C.1, C.2, C.3 and C.4</w:t>
      </w:r>
      <w:r w:rsidRPr="0041676F">
        <w:rPr>
          <w:bCs/>
          <w:szCs w:val="24"/>
        </w:rPr>
        <w:t>, as listed in Table 1</w:t>
      </w:r>
      <w:r w:rsidRPr="0041676F">
        <w:rPr>
          <w:bCs/>
        </w:rPr>
        <w:t>.</w:t>
      </w:r>
    </w:p>
    <w:p w14:paraId="7D4D6523" w14:textId="1159B9D8" w:rsidR="000D04DA" w:rsidRPr="0041676F" w:rsidRDefault="0002467C" w:rsidP="000136EC">
      <w:pPr>
        <w:pStyle w:val="ListParagraph"/>
        <w:numPr>
          <w:ilvl w:val="2"/>
          <w:numId w:val="49"/>
        </w:numPr>
        <w:ind w:left="2160" w:hanging="990"/>
      </w:pPr>
      <w:r w:rsidRPr="0041676F">
        <w:t xml:space="preserve">The second component (40% of the retrospective performance payment) for is only available if the State has met the criteria for the first component. The second component will be distributed based on the </w:t>
      </w:r>
      <w:r w:rsidRPr="0041676F">
        <w:lastRenderedPageBreak/>
        <w:t xml:space="preserve">number of percentage points above 50% of measures for which the State has scored a “met,” multiplied by </w:t>
      </w:r>
      <w:r w:rsidRPr="0041676F">
        <w:rPr>
          <w:bCs/>
        </w:rPr>
        <w:t>(4/</w:t>
      </w:r>
      <w:r w:rsidRPr="0041676F">
        <w:t>3</w:t>
      </w:r>
      <w:r w:rsidRPr="0041676F">
        <w:rPr>
          <w:bCs/>
        </w:rPr>
        <w:t>),</w:t>
      </w:r>
      <w:r w:rsidRPr="0041676F">
        <w:t xml:space="preserve"> including all measures included in Demonstration Years 8 </w:t>
      </w:r>
      <w:r w:rsidR="00DE2ACB">
        <w:t>through</w:t>
      </w:r>
      <w:r w:rsidRPr="0041676F">
        <w:t xml:space="preserve"> </w:t>
      </w:r>
      <w:r w:rsidR="00EE22C2">
        <w:t>11</w:t>
      </w:r>
      <w:r w:rsidRPr="0041676F">
        <w:t>,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performance payment.</w:t>
      </w:r>
    </w:p>
    <w:p w14:paraId="1F441D3F" w14:textId="4E88710E" w:rsidR="000D04DA" w:rsidRPr="0041676F" w:rsidRDefault="0002467C" w:rsidP="000136EC">
      <w:pPr>
        <w:pStyle w:val="ListParagraph"/>
        <w:numPr>
          <w:ilvl w:val="3"/>
          <w:numId w:val="49"/>
        </w:numPr>
        <w:ind w:left="2610" w:hanging="1170"/>
      </w:pPr>
      <w:r w:rsidRPr="0041676F">
        <w:rPr>
          <w:color w:val="000000"/>
        </w:rPr>
        <w:t>Specifically, for Demonstration Year</w:t>
      </w:r>
      <w:r w:rsidR="00194586">
        <w:rPr>
          <w:color w:val="000000"/>
        </w:rPr>
        <w:t xml:space="preserve">s </w:t>
      </w:r>
      <w:r w:rsidRPr="0041676F">
        <w:rPr>
          <w:color w:val="000000"/>
        </w:rPr>
        <w:t>8</w:t>
      </w:r>
      <w:r w:rsidR="008D7A49">
        <w:rPr>
          <w:color w:val="000000"/>
        </w:rPr>
        <w:t xml:space="preserve"> </w:t>
      </w:r>
      <w:r w:rsidR="00194586">
        <w:rPr>
          <w:color w:val="000000"/>
        </w:rPr>
        <w:t>and 9</w:t>
      </w:r>
      <w:r w:rsidRPr="0041676F">
        <w:rPr>
          <w:color w:val="000000"/>
        </w:rPr>
        <w:t xml:space="preserve"> distribution of the second component is based on the number of measures for which the State has met the benchmark or improvement goal (applicable for 13 measures A.1, A.2, A.3, A.4, A.8, A.9, A.10, A.11, B.2, B.3, C.1, C.2, and C.3)</w:t>
      </w:r>
      <w:r w:rsidRPr="0041676F">
        <w:rPr>
          <w:bCs/>
          <w:szCs w:val="24"/>
        </w:rPr>
        <w:t>, as listed in Table 1</w:t>
      </w:r>
      <w:r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13 measures considered, the State qualifies for this component as follows:</w:t>
      </w:r>
    </w:p>
    <w:p w14:paraId="382468F4" w14:textId="77777777" w:rsidR="000D04DA" w:rsidRPr="0041676F" w:rsidRDefault="0002467C" w:rsidP="000136EC">
      <w:pPr>
        <w:pStyle w:val="ListParagraph"/>
        <w:numPr>
          <w:ilvl w:val="4"/>
          <w:numId w:val="49"/>
        </w:numPr>
        <w:ind w:left="4140" w:hanging="990"/>
      </w:pPr>
      <w:r w:rsidRPr="0041676F">
        <w:rPr>
          <w:color w:val="000000"/>
        </w:rPr>
        <w:t>Meets 11 or more measures – qualifies for the full 40% (100% of this component).</w:t>
      </w:r>
    </w:p>
    <w:p w14:paraId="437229A9" w14:textId="77777777" w:rsidR="000D04DA" w:rsidRPr="0041676F" w:rsidRDefault="0002467C" w:rsidP="000136EC">
      <w:pPr>
        <w:pStyle w:val="ListParagraph"/>
        <w:numPr>
          <w:ilvl w:val="4"/>
          <w:numId w:val="49"/>
        </w:numPr>
        <w:ind w:left="4140" w:hanging="990"/>
      </w:pPr>
      <w:r w:rsidRPr="0041676F">
        <w:rPr>
          <w:color w:val="000000"/>
        </w:rPr>
        <w:t>Meets 10 measures – qualifies for 36% (90% of this component).</w:t>
      </w:r>
    </w:p>
    <w:p w14:paraId="28A09279" w14:textId="77777777" w:rsidR="000D04DA" w:rsidRPr="0041676F" w:rsidRDefault="0002467C" w:rsidP="000136EC">
      <w:pPr>
        <w:pStyle w:val="ListParagraph"/>
        <w:numPr>
          <w:ilvl w:val="4"/>
          <w:numId w:val="49"/>
        </w:numPr>
        <w:ind w:left="4140" w:hanging="990"/>
      </w:pPr>
      <w:r w:rsidRPr="0041676F">
        <w:rPr>
          <w:color w:val="000000"/>
        </w:rPr>
        <w:t>Meets 9 measures – qualifies for 26% (64% of this component).</w:t>
      </w:r>
    </w:p>
    <w:p w14:paraId="39C006D7" w14:textId="77777777" w:rsidR="000D04DA" w:rsidRPr="0041676F" w:rsidRDefault="0002467C" w:rsidP="000136EC">
      <w:pPr>
        <w:pStyle w:val="ListParagraph"/>
        <w:numPr>
          <w:ilvl w:val="4"/>
          <w:numId w:val="49"/>
        </w:numPr>
        <w:ind w:left="4140" w:hanging="990"/>
      </w:pPr>
      <w:r w:rsidRPr="0041676F">
        <w:rPr>
          <w:color w:val="000000"/>
        </w:rPr>
        <w:t xml:space="preserve">Meets 8 measures – qualifies for 15% (38% of this component). </w:t>
      </w:r>
    </w:p>
    <w:p w14:paraId="5D5ACDE6" w14:textId="77777777" w:rsidR="000D04DA" w:rsidRPr="0041676F" w:rsidRDefault="0002467C" w:rsidP="000136EC">
      <w:pPr>
        <w:pStyle w:val="ListParagraph"/>
        <w:numPr>
          <w:ilvl w:val="4"/>
          <w:numId w:val="49"/>
        </w:numPr>
        <w:ind w:left="4140" w:hanging="990"/>
      </w:pPr>
      <w:r w:rsidRPr="0041676F">
        <w:rPr>
          <w:color w:val="000000"/>
        </w:rPr>
        <w:t>Meets 7 measures – qualifies for 5% (13% of this component).</w:t>
      </w:r>
    </w:p>
    <w:p w14:paraId="19ACC716" w14:textId="77777777" w:rsidR="000D04DA" w:rsidRPr="0041676F" w:rsidRDefault="0002467C" w:rsidP="000136EC">
      <w:pPr>
        <w:pStyle w:val="ListParagraph"/>
        <w:numPr>
          <w:ilvl w:val="4"/>
          <w:numId w:val="49"/>
        </w:numPr>
        <w:ind w:left="4140" w:hanging="990"/>
      </w:pPr>
      <w:r w:rsidRPr="0041676F">
        <w:rPr>
          <w:color w:val="000000"/>
        </w:rPr>
        <w:lastRenderedPageBreak/>
        <w:t xml:space="preserve">Meets 6 or fewer measures – qualifies for 0% of this component. </w:t>
      </w:r>
    </w:p>
    <w:p w14:paraId="7D5BDDB1" w14:textId="5D0C2244" w:rsidR="000D04DA" w:rsidRPr="0041676F" w:rsidRDefault="0002467C" w:rsidP="000136EC">
      <w:pPr>
        <w:pStyle w:val="ListParagraph"/>
        <w:numPr>
          <w:ilvl w:val="3"/>
          <w:numId w:val="49"/>
        </w:numPr>
        <w:ind w:left="2610" w:hanging="1170"/>
      </w:pPr>
      <w:r w:rsidRPr="0041676F">
        <w:rPr>
          <w:color w:val="000000"/>
        </w:rPr>
        <w:t>Specifically, for Demonstration Year</w:t>
      </w:r>
      <w:r w:rsidR="00DE2ACB">
        <w:rPr>
          <w:color w:val="000000"/>
        </w:rPr>
        <w:t>s</w:t>
      </w:r>
      <w:r w:rsidRPr="0041676F">
        <w:rPr>
          <w:color w:val="000000"/>
        </w:rPr>
        <w:t xml:space="preserve"> </w:t>
      </w:r>
      <w:r w:rsidR="00194586">
        <w:rPr>
          <w:color w:val="000000"/>
        </w:rPr>
        <w:t>10 and 1</w:t>
      </w:r>
      <w:r w:rsidR="00EE22C2">
        <w:rPr>
          <w:color w:val="000000"/>
        </w:rPr>
        <w:t>1</w:t>
      </w:r>
      <w:r w:rsidRPr="0041676F">
        <w:rPr>
          <w:color w:val="000000"/>
        </w:rPr>
        <w:t xml:space="preserve"> distribution of the second component is based on the number of measures for which the State has met the benchmark or improvement goal (applicable for 14 measures A.1, A.2, A.3, A.4, A.8, A.9, A.10, A.11, B.2, B.3, C.1, C.2, C.3 and C.4)</w:t>
      </w:r>
      <w:r w:rsidRPr="0041676F">
        <w:rPr>
          <w:bCs/>
          <w:szCs w:val="24"/>
        </w:rPr>
        <w:t>, as listed in Table 1</w:t>
      </w:r>
      <w:r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14 measures considered, the State qualifies for this component as follows:</w:t>
      </w:r>
    </w:p>
    <w:p w14:paraId="617BA9D0" w14:textId="77777777" w:rsidR="000D04DA" w:rsidRPr="0041676F" w:rsidRDefault="0002467C" w:rsidP="000136EC">
      <w:pPr>
        <w:pStyle w:val="ListParagraph"/>
        <w:numPr>
          <w:ilvl w:val="4"/>
          <w:numId w:val="49"/>
        </w:numPr>
        <w:ind w:left="4140" w:hanging="1080"/>
      </w:pPr>
      <w:r w:rsidRPr="0041676F">
        <w:rPr>
          <w:color w:val="000000"/>
        </w:rPr>
        <w:t>Meets 12 or more measures – qualifies for the full 40% (100% of this component).</w:t>
      </w:r>
    </w:p>
    <w:p w14:paraId="31ECC5C8" w14:textId="77777777" w:rsidR="000D04DA" w:rsidRPr="00194586" w:rsidRDefault="0002467C" w:rsidP="000136EC">
      <w:pPr>
        <w:pStyle w:val="ListParagraph"/>
        <w:numPr>
          <w:ilvl w:val="4"/>
          <w:numId w:val="49"/>
        </w:numPr>
        <w:ind w:left="4140" w:hanging="1080"/>
      </w:pPr>
      <w:r w:rsidRPr="00194586">
        <w:rPr>
          <w:color w:val="000000"/>
        </w:rPr>
        <w:t>Meets 11 measures – qualifies for 36% (90% of this component).</w:t>
      </w:r>
    </w:p>
    <w:p w14:paraId="5547B963" w14:textId="77777777" w:rsidR="000D04DA" w:rsidRPr="00194586" w:rsidRDefault="0002467C" w:rsidP="000136EC">
      <w:pPr>
        <w:pStyle w:val="ListParagraph"/>
        <w:numPr>
          <w:ilvl w:val="4"/>
          <w:numId w:val="49"/>
        </w:numPr>
        <w:ind w:left="4140" w:hanging="1080"/>
      </w:pPr>
      <w:r w:rsidRPr="00194586">
        <w:rPr>
          <w:color w:val="000000"/>
        </w:rPr>
        <w:t>Meets 10 measures – qualifies for 26% (64% of this component).</w:t>
      </w:r>
    </w:p>
    <w:p w14:paraId="04B516A6" w14:textId="77777777" w:rsidR="000D04DA" w:rsidRPr="00194586" w:rsidRDefault="0002467C" w:rsidP="000136EC">
      <w:pPr>
        <w:pStyle w:val="ListParagraph"/>
        <w:numPr>
          <w:ilvl w:val="4"/>
          <w:numId w:val="49"/>
        </w:numPr>
        <w:ind w:left="4140" w:hanging="1080"/>
      </w:pPr>
      <w:r w:rsidRPr="00194586">
        <w:rPr>
          <w:color w:val="000000"/>
        </w:rPr>
        <w:t xml:space="preserve">Meets 9 measures – qualifies for 15% (38% of this component). </w:t>
      </w:r>
    </w:p>
    <w:p w14:paraId="0CC74E3B" w14:textId="77777777" w:rsidR="000D04DA" w:rsidRPr="00194586" w:rsidRDefault="0002467C" w:rsidP="000136EC">
      <w:pPr>
        <w:pStyle w:val="ListParagraph"/>
        <w:numPr>
          <w:ilvl w:val="4"/>
          <w:numId w:val="49"/>
        </w:numPr>
        <w:ind w:left="4140" w:hanging="1080"/>
      </w:pPr>
      <w:r w:rsidRPr="00194586">
        <w:rPr>
          <w:color w:val="000000"/>
        </w:rPr>
        <w:t>Meets 8 measures – qualifies for 5% (13% of this component).</w:t>
      </w:r>
    </w:p>
    <w:p w14:paraId="5E2B9285" w14:textId="77777777" w:rsidR="000D04DA" w:rsidRPr="00194586" w:rsidRDefault="0002467C" w:rsidP="000136EC">
      <w:pPr>
        <w:pStyle w:val="ListParagraph"/>
        <w:numPr>
          <w:ilvl w:val="4"/>
          <w:numId w:val="49"/>
        </w:numPr>
        <w:ind w:left="4140" w:hanging="1080"/>
      </w:pPr>
      <w:r w:rsidRPr="00194586">
        <w:rPr>
          <w:color w:val="000000"/>
        </w:rPr>
        <w:t>Meets 7 or fewer measures – qualifies for 0% of this component.</w:t>
      </w:r>
    </w:p>
    <w:p w14:paraId="7EA65C1D" w14:textId="784B0D2D" w:rsidR="0002467C" w:rsidRPr="00194586" w:rsidRDefault="0002467C" w:rsidP="000136EC">
      <w:pPr>
        <w:pStyle w:val="ListParagraph"/>
        <w:numPr>
          <w:ilvl w:val="1"/>
          <w:numId w:val="49"/>
        </w:numPr>
        <w:ind w:left="1530" w:hanging="990"/>
      </w:pPr>
      <w:r w:rsidRPr="00194586">
        <w:rPr>
          <w:color w:val="000000"/>
        </w:rPr>
        <w:t xml:space="preserve">Tables 6 and 7 below indicate what percent of the total available statewide performance payment the State is eligible to receive based on its performance on the quality measures, as described in IV.J.3.b.vi. To the extent all measures are </w:t>
      </w:r>
      <w:r w:rsidRPr="00194586">
        <w:rPr>
          <w:color w:val="000000"/>
        </w:rPr>
        <w:lastRenderedPageBreak/>
        <w:t>not reported completely and accurately, the available performance payment will vary from that shown in Tables 6 and 7.</w:t>
      </w:r>
      <w:r w:rsidRPr="00194586">
        <w:t xml:space="preserve"> </w:t>
      </w:r>
    </w:p>
    <w:p w14:paraId="3E68F38A" w14:textId="77777777" w:rsidR="000D04DA" w:rsidRPr="00194586" w:rsidRDefault="000D04DA" w:rsidP="005004A3">
      <w:pPr>
        <w:pStyle w:val="ListParagraph"/>
        <w:ind w:left="720"/>
      </w:pPr>
    </w:p>
    <w:p w14:paraId="04D512BD" w14:textId="64D48FF8" w:rsidR="0002467C" w:rsidRPr="00194586" w:rsidRDefault="0002467C" w:rsidP="0002467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194586">
        <w:rPr>
          <w:b/>
          <w:color w:val="000000"/>
        </w:rPr>
        <w:t>Table 6 – Demonstration Year</w:t>
      </w:r>
      <w:r w:rsidR="00194586" w:rsidRPr="00194586">
        <w:rPr>
          <w:b/>
          <w:color w:val="000000"/>
        </w:rPr>
        <w:t>s</w:t>
      </w:r>
      <w:r w:rsidRPr="00194586">
        <w:rPr>
          <w:b/>
          <w:color w:val="000000"/>
        </w:rPr>
        <w:t xml:space="preserve"> 8</w:t>
      </w:r>
      <w:r w:rsidR="00194586" w:rsidRPr="00194586">
        <w:rPr>
          <w:b/>
          <w:color w:val="000000"/>
        </w:rPr>
        <w:t xml:space="preserve"> and 9</w:t>
      </w:r>
      <w:r w:rsidRPr="00194586">
        <w:rPr>
          <w:b/>
          <w:color w:val="000000"/>
        </w:rPr>
        <w:t xml:space="preserve"> Statewide Available Performance Payment Based on Quality Measure Performance </w:t>
      </w:r>
    </w:p>
    <w:tbl>
      <w:tblPr>
        <w:tblStyle w:val="TableGrid"/>
        <w:tblW w:w="0" w:type="auto"/>
        <w:tblLook w:val="04A0" w:firstRow="1" w:lastRow="0" w:firstColumn="1" w:lastColumn="0" w:noHBand="0" w:noVBand="1"/>
        <w:tblCaption w:val="Table 6-Demonstration Years 8 and 9 Statewide Available Performance Payment Based on Quality Measure Performance"/>
        <w:tblDescription w:val="Table 6 –  Statewide Available Performance Payment Based on Quality Measure Performance including demonstration years 8 through 9, number of reported only measures, number of benchmarked measures, number of benchmarks met, and total available performance payment"/>
      </w:tblPr>
      <w:tblGrid>
        <w:gridCol w:w="1870"/>
        <w:gridCol w:w="1870"/>
        <w:gridCol w:w="1870"/>
        <w:gridCol w:w="1870"/>
        <w:gridCol w:w="1870"/>
      </w:tblGrid>
      <w:tr w:rsidR="0002467C" w:rsidRPr="00194586" w14:paraId="3D8A13F2" w14:textId="77777777" w:rsidTr="001B5AD8">
        <w:trPr>
          <w:trHeight w:val="899"/>
        </w:trPr>
        <w:tc>
          <w:tcPr>
            <w:tcW w:w="1870" w:type="dxa"/>
          </w:tcPr>
          <w:p w14:paraId="7D3C861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Demonstration Year</w:t>
            </w:r>
          </w:p>
        </w:tc>
        <w:tc>
          <w:tcPr>
            <w:tcW w:w="1870" w:type="dxa"/>
          </w:tcPr>
          <w:p w14:paraId="15F131B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Reported Only Measures</w:t>
            </w:r>
          </w:p>
        </w:tc>
        <w:tc>
          <w:tcPr>
            <w:tcW w:w="1870" w:type="dxa"/>
          </w:tcPr>
          <w:p w14:paraId="610D220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Benchmarked Measures</w:t>
            </w:r>
          </w:p>
        </w:tc>
        <w:tc>
          <w:tcPr>
            <w:tcW w:w="1870" w:type="dxa"/>
          </w:tcPr>
          <w:p w14:paraId="4FDE691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Benchmarks Met</w:t>
            </w:r>
          </w:p>
        </w:tc>
        <w:tc>
          <w:tcPr>
            <w:tcW w:w="1870" w:type="dxa"/>
          </w:tcPr>
          <w:p w14:paraId="227354D4"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Total Available Performance Payment*</w:t>
            </w:r>
          </w:p>
        </w:tc>
      </w:tr>
      <w:tr w:rsidR="0002467C" w:rsidRPr="00194586" w14:paraId="63E0A14D" w14:textId="77777777" w:rsidTr="001B5AD8">
        <w:tc>
          <w:tcPr>
            <w:tcW w:w="1870" w:type="dxa"/>
          </w:tcPr>
          <w:p w14:paraId="752BF6F7" w14:textId="1B4807DD"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32AE499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6349A9A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BFF35CE"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11+</w:t>
            </w:r>
          </w:p>
        </w:tc>
        <w:tc>
          <w:tcPr>
            <w:tcW w:w="1870" w:type="dxa"/>
          </w:tcPr>
          <w:p w14:paraId="28BFDF27"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100%</w:t>
            </w:r>
          </w:p>
        </w:tc>
      </w:tr>
      <w:tr w:rsidR="0002467C" w:rsidRPr="00194586" w14:paraId="1DD556B6" w14:textId="77777777" w:rsidTr="001B5AD8">
        <w:tc>
          <w:tcPr>
            <w:tcW w:w="1870" w:type="dxa"/>
          </w:tcPr>
          <w:p w14:paraId="3B98E169" w14:textId="52181921"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730C5C32"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3C39EF50"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59EA15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w:t>
            </w:r>
          </w:p>
        </w:tc>
        <w:tc>
          <w:tcPr>
            <w:tcW w:w="1870" w:type="dxa"/>
          </w:tcPr>
          <w:p w14:paraId="01A1235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96%</w:t>
            </w:r>
          </w:p>
        </w:tc>
      </w:tr>
      <w:tr w:rsidR="0002467C" w:rsidRPr="00194586" w14:paraId="14015D41" w14:textId="77777777" w:rsidTr="001B5AD8">
        <w:tc>
          <w:tcPr>
            <w:tcW w:w="1870" w:type="dxa"/>
          </w:tcPr>
          <w:p w14:paraId="1C6C4E00" w14:textId="3F8AB18E"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01F918B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4C3654A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5B5B3C6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9</w:t>
            </w:r>
          </w:p>
        </w:tc>
        <w:tc>
          <w:tcPr>
            <w:tcW w:w="1870" w:type="dxa"/>
          </w:tcPr>
          <w:p w14:paraId="5629933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86%</w:t>
            </w:r>
          </w:p>
        </w:tc>
      </w:tr>
      <w:tr w:rsidR="0002467C" w:rsidRPr="00194586" w14:paraId="2DCFA56E" w14:textId="77777777" w:rsidTr="001B5AD8">
        <w:tc>
          <w:tcPr>
            <w:tcW w:w="1870" w:type="dxa"/>
          </w:tcPr>
          <w:p w14:paraId="136349E7" w14:textId="1BF1CEBE"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6316DAB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7ED26ADC"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695A70D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8</w:t>
            </w:r>
          </w:p>
        </w:tc>
        <w:tc>
          <w:tcPr>
            <w:tcW w:w="1870" w:type="dxa"/>
          </w:tcPr>
          <w:p w14:paraId="4DA77F6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75%</w:t>
            </w:r>
          </w:p>
        </w:tc>
      </w:tr>
      <w:tr w:rsidR="0002467C" w:rsidRPr="00194586" w14:paraId="5A32B048" w14:textId="77777777" w:rsidTr="001B5AD8">
        <w:tc>
          <w:tcPr>
            <w:tcW w:w="1870" w:type="dxa"/>
          </w:tcPr>
          <w:p w14:paraId="120A2EFA" w14:textId="051DD06C"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2BB8E14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6EA6F39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5DC252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w:t>
            </w:r>
          </w:p>
        </w:tc>
        <w:tc>
          <w:tcPr>
            <w:tcW w:w="1870" w:type="dxa"/>
          </w:tcPr>
          <w:p w14:paraId="39890FDF"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65%</w:t>
            </w:r>
          </w:p>
        </w:tc>
      </w:tr>
      <w:tr w:rsidR="0002467C" w:rsidRPr="00194586" w14:paraId="5D3A4CEF" w14:textId="77777777" w:rsidTr="001B5AD8">
        <w:tc>
          <w:tcPr>
            <w:tcW w:w="1870" w:type="dxa"/>
          </w:tcPr>
          <w:p w14:paraId="65A1A4ED" w14:textId="5F170444"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0541121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2C5F7E6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66802567"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&lt;7</w:t>
            </w:r>
          </w:p>
        </w:tc>
        <w:tc>
          <w:tcPr>
            <w:tcW w:w="1870" w:type="dxa"/>
          </w:tcPr>
          <w:p w14:paraId="5D27DC4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0%</w:t>
            </w:r>
          </w:p>
        </w:tc>
      </w:tr>
    </w:tbl>
    <w:p w14:paraId="20A64F0F" w14:textId="77777777" w:rsidR="0002467C" w:rsidRPr="00194586"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194586">
        <w:rPr>
          <w:color w:val="000000"/>
          <w:sz w:val="20"/>
          <w:szCs w:val="20"/>
        </w:rPr>
        <w:t>*Note: Table 6 assumes all measures are completely and accurately reported.</w:t>
      </w:r>
    </w:p>
    <w:p w14:paraId="2F209ED1" w14:textId="4CDDD0F5" w:rsidR="0002467C" w:rsidRPr="00194586" w:rsidRDefault="0002467C" w:rsidP="0002467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194586">
        <w:rPr>
          <w:b/>
          <w:color w:val="000000"/>
        </w:rPr>
        <w:t>Table 7 – Demonstration Year</w:t>
      </w:r>
      <w:r w:rsidR="00DE2ACB" w:rsidRPr="00194586">
        <w:rPr>
          <w:b/>
          <w:color w:val="000000"/>
        </w:rPr>
        <w:t>s</w:t>
      </w:r>
      <w:r w:rsidRPr="00194586">
        <w:rPr>
          <w:b/>
          <w:color w:val="000000"/>
        </w:rPr>
        <w:t xml:space="preserve"> </w:t>
      </w:r>
      <w:r w:rsidR="00194586" w:rsidRPr="00194586">
        <w:rPr>
          <w:b/>
          <w:color w:val="000000"/>
        </w:rPr>
        <w:t xml:space="preserve">10 and </w:t>
      </w:r>
      <w:r w:rsidR="00EE22C2" w:rsidRPr="00194586">
        <w:rPr>
          <w:b/>
          <w:color w:val="000000"/>
        </w:rPr>
        <w:t>11</w:t>
      </w:r>
      <w:r w:rsidR="00DE2ACB" w:rsidRPr="00194586">
        <w:rPr>
          <w:b/>
          <w:color w:val="000000"/>
        </w:rPr>
        <w:t xml:space="preserve"> </w:t>
      </w:r>
      <w:r w:rsidRPr="00194586">
        <w:rPr>
          <w:b/>
          <w:color w:val="000000"/>
        </w:rPr>
        <w:t xml:space="preserve">Statewide Available Performance Payment Based on Quality Measure Performance </w:t>
      </w:r>
    </w:p>
    <w:tbl>
      <w:tblPr>
        <w:tblStyle w:val="TableGrid"/>
        <w:tblW w:w="0" w:type="auto"/>
        <w:tblLook w:val="04A0" w:firstRow="1" w:lastRow="0" w:firstColumn="1" w:lastColumn="0" w:noHBand="0" w:noVBand="1"/>
        <w:tblCaption w:val="Table 7 - Demonstration Years 10 and 11 Statewide Available Performance Payment Based on Quality Measure Performance"/>
        <w:tblDescription w:val="Table 7 – Statewide Available Performance Payment Based on Quality Measure Performance including demonstration years 10 through 11, number of reported only measures, number of benchmarked measures, number of benchmarks met, and total available performance payment"/>
      </w:tblPr>
      <w:tblGrid>
        <w:gridCol w:w="1870"/>
        <w:gridCol w:w="1870"/>
        <w:gridCol w:w="1870"/>
        <w:gridCol w:w="1870"/>
        <w:gridCol w:w="1870"/>
      </w:tblGrid>
      <w:tr w:rsidR="0002467C" w:rsidRPr="00194586" w14:paraId="37509540" w14:textId="77777777" w:rsidTr="001B5AD8">
        <w:trPr>
          <w:trHeight w:val="899"/>
        </w:trPr>
        <w:tc>
          <w:tcPr>
            <w:tcW w:w="1870" w:type="dxa"/>
          </w:tcPr>
          <w:p w14:paraId="11797DE9" w14:textId="302FA925"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Demonstration Year</w:t>
            </w:r>
            <w:r w:rsidR="00DE2ACB" w:rsidRPr="00194586">
              <w:rPr>
                <w:b/>
                <w:bCs/>
                <w:color w:val="000000"/>
                <w:sz w:val="22"/>
                <w:szCs w:val="22"/>
              </w:rPr>
              <w:t>s</w:t>
            </w:r>
          </w:p>
        </w:tc>
        <w:tc>
          <w:tcPr>
            <w:tcW w:w="1870" w:type="dxa"/>
          </w:tcPr>
          <w:p w14:paraId="7CE0202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Reported Only Measures</w:t>
            </w:r>
          </w:p>
        </w:tc>
        <w:tc>
          <w:tcPr>
            <w:tcW w:w="1870" w:type="dxa"/>
          </w:tcPr>
          <w:p w14:paraId="3D3E16B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Benchmarked Measures</w:t>
            </w:r>
          </w:p>
        </w:tc>
        <w:tc>
          <w:tcPr>
            <w:tcW w:w="1870" w:type="dxa"/>
          </w:tcPr>
          <w:p w14:paraId="11FB2EB3"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Benchmarks Met</w:t>
            </w:r>
          </w:p>
        </w:tc>
        <w:tc>
          <w:tcPr>
            <w:tcW w:w="1870" w:type="dxa"/>
          </w:tcPr>
          <w:p w14:paraId="6C3B3AE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Total Available Performance Payment*</w:t>
            </w:r>
          </w:p>
        </w:tc>
      </w:tr>
      <w:tr w:rsidR="0002467C" w:rsidRPr="00194586" w14:paraId="0C150683" w14:textId="77777777" w:rsidTr="001B5AD8">
        <w:tc>
          <w:tcPr>
            <w:tcW w:w="1870" w:type="dxa"/>
          </w:tcPr>
          <w:p w14:paraId="297A9B88" w14:textId="07F7B47A" w:rsidR="0002467C"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and 11 </w:t>
            </w:r>
          </w:p>
        </w:tc>
        <w:tc>
          <w:tcPr>
            <w:tcW w:w="1870" w:type="dxa"/>
          </w:tcPr>
          <w:p w14:paraId="5FAD7DBB"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DBD5A2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0438879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12+</w:t>
            </w:r>
          </w:p>
        </w:tc>
        <w:tc>
          <w:tcPr>
            <w:tcW w:w="1870" w:type="dxa"/>
          </w:tcPr>
          <w:p w14:paraId="07B6D4F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100%</w:t>
            </w:r>
          </w:p>
        </w:tc>
      </w:tr>
      <w:tr w:rsidR="00EE22C2" w:rsidRPr="00194586" w14:paraId="60F3CA09" w14:textId="77777777" w:rsidTr="001B5AD8">
        <w:tc>
          <w:tcPr>
            <w:tcW w:w="1870" w:type="dxa"/>
          </w:tcPr>
          <w:p w14:paraId="1DA78FF5" w14:textId="29680E5C" w:rsidR="00EE22C2"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 and 11</w:t>
            </w:r>
          </w:p>
        </w:tc>
        <w:tc>
          <w:tcPr>
            <w:tcW w:w="1870" w:type="dxa"/>
          </w:tcPr>
          <w:p w14:paraId="404A5E9B" w14:textId="77777777" w:rsidR="00EE22C2" w:rsidRPr="00194586" w:rsidRDefault="00EE22C2"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001C276B" w14:textId="77777777" w:rsidR="00EE22C2" w:rsidRPr="00194586" w:rsidRDefault="00EE22C2"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5320F5CF" w14:textId="77777777" w:rsidR="00EE22C2" w:rsidRPr="00194586" w:rsidRDefault="00EE22C2"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11</w:t>
            </w:r>
          </w:p>
        </w:tc>
        <w:tc>
          <w:tcPr>
            <w:tcW w:w="1870" w:type="dxa"/>
          </w:tcPr>
          <w:p w14:paraId="3282DA0C" w14:textId="77777777" w:rsidR="00EE22C2" w:rsidRPr="00194586" w:rsidRDefault="00EE22C2"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96%</w:t>
            </w:r>
          </w:p>
        </w:tc>
      </w:tr>
      <w:tr w:rsidR="00194586" w:rsidRPr="00194586" w14:paraId="5B79B808" w14:textId="77777777" w:rsidTr="001B5AD8">
        <w:tc>
          <w:tcPr>
            <w:tcW w:w="1870" w:type="dxa"/>
          </w:tcPr>
          <w:p w14:paraId="039AA6A5" w14:textId="5621E946"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and 11 </w:t>
            </w:r>
          </w:p>
        </w:tc>
        <w:tc>
          <w:tcPr>
            <w:tcW w:w="1870" w:type="dxa"/>
          </w:tcPr>
          <w:p w14:paraId="5EF7C694"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628A1646"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66855498" w14:textId="7893EF65"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10</w:t>
            </w:r>
          </w:p>
        </w:tc>
        <w:tc>
          <w:tcPr>
            <w:tcW w:w="1870" w:type="dxa"/>
          </w:tcPr>
          <w:p w14:paraId="240B2AE7"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86%</w:t>
            </w:r>
          </w:p>
        </w:tc>
      </w:tr>
      <w:tr w:rsidR="00194586" w:rsidRPr="00194586" w14:paraId="7AD6F287" w14:textId="77777777" w:rsidTr="001B5AD8">
        <w:tc>
          <w:tcPr>
            <w:tcW w:w="1870" w:type="dxa"/>
          </w:tcPr>
          <w:p w14:paraId="6795FC1F" w14:textId="3CD09C3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and 11 </w:t>
            </w:r>
          </w:p>
        </w:tc>
        <w:tc>
          <w:tcPr>
            <w:tcW w:w="1870" w:type="dxa"/>
          </w:tcPr>
          <w:p w14:paraId="7FF61CB5"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FB837BA"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793EAAAA" w14:textId="7B8429A2"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9</w:t>
            </w:r>
          </w:p>
        </w:tc>
        <w:tc>
          <w:tcPr>
            <w:tcW w:w="1870" w:type="dxa"/>
          </w:tcPr>
          <w:p w14:paraId="742642A0"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75%</w:t>
            </w:r>
          </w:p>
        </w:tc>
      </w:tr>
      <w:tr w:rsidR="00194586" w:rsidRPr="00194586" w14:paraId="760E3B04" w14:textId="77777777" w:rsidTr="001B5AD8">
        <w:tc>
          <w:tcPr>
            <w:tcW w:w="1870" w:type="dxa"/>
          </w:tcPr>
          <w:p w14:paraId="23230F5E" w14:textId="3825531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and 11 </w:t>
            </w:r>
          </w:p>
        </w:tc>
        <w:tc>
          <w:tcPr>
            <w:tcW w:w="1870" w:type="dxa"/>
          </w:tcPr>
          <w:p w14:paraId="13115966"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B9F6623"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4D1E1C83" w14:textId="60D6ED7D"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w:t>
            </w:r>
          </w:p>
        </w:tc>
        <w:tc>
          <w:tcPr>
            <w:tcW w:w="1870" w:type="dxa"/>
          </w:tcPr>
          <w:p w14:paraId="1738B897"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65%</w:t>
            </w:r>
          </w:p>
        </w:tc>
      </w:tr>
      <w:tr w:rsidR="00194586" w:rsidRPr="00194586" w14:paraId="4488398F" w14:textId="77777777" w:rsidTr="001B5AD8">
        <w:tc>
          <w:tcPr>
            <w:tcW w:w="1870" w:type="dxa"/>
          </w:tcPr>
          <w:p w14:paraId="1AFAF135" w14:textId="64F578F0"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and 11 </w:t>
            </w:r>
          </w:p>
        </w:tc>
        <w:tc>
          <w:tcPr>
            <w:tcW w:w="1870" w:type="dxa"/>
          </w:tcPr>
          <w:p w14:paraId="28042F55"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4398A8BE" w14:textId="77777777"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528E6B32" w14:textId="7831C6E1"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w:t>
            </w:r>
          </w:p>
        </w:tc>
        <w:tc>
          <w:tcPr>
            <w:tcW w:w="1870" w:type="dxa"/>
          </w:tcPr>
          <w:p w14:paraId="3CB345C4" w14:textId="6BA90F21"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60%</w:t>
            </w:r>
          </w:p>
        </w:tc>
      </w:tr>
      <w:tr w:rsidR="00194586" w:rsidRPr="00194586" w14:paraId="4AD70326" w14:textId="77777777" w:rsidTr="001B5AD8">
        <w:tc>
          <w:tcPr>
            <w:tcW w:w="1870" w:type="dxa"/>
          </w:tcPr>
          <w:p w14:paraId="291B09F5" w14:textId="03254D3E"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 xml:space="preserve">10 and 11 </w:t>
            </w:r>
          </w:p>
        </w:tc>
        <w:tc>
          <w:tcPr>
            <w:tcW w:w="1870" w:type="dxa"/>
          </w:tcPr>
          <w:p w14:paraId="0D59B3C1" w14:textId="5A5B533C"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4551ABFC" w14:textId="7C950DEB"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14</w:t>
            </w:r>
          </w:p>
        </w:tc>
        <w:tc>
          <w:tcPr>
            <w:tcW w:w="1870" w:type="dxa"/>
          </w:tcPr>
          <w:p w14:paraId="693FB737" w14:textId="6DEBBED3" w:rsidR="00194586" w:rsidRPr="00194586" w:rsidDel="001C3254"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&lt;7</w:t>
            </w:r>
          </w:p>
        </w:tc>
        <w:tc>
          <w:tcPr>
            <w:tcW w:w="1870" w:type="dxa"/>
          </w:tcPr>
          <w:p w14:paraId="4C649C8F" w14:textId="318833B3" w:rsidR="00194586"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0%</w:t>
            </w:r>
          </w:p>
        </w:tc>
      </w:tr>
    </w:tbl>
    <w:p w14:paraId="3914F61F" w14:textId="77777777" w:rsidR="0002467C" w:rsidRPr="00B015F5"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194586">
        <w:rPr>
          <w:color w:val="000000"/>
          <w:sz w:val="20"/>
          <w:szCs w:val="20"/>
        </w:rPr>
        <w:t>*Note: Table 7 assumes all measures are completely and accurately reported.</w:t>
      </w:r>
    </w:p>
    <w:p w14:paraId="7432CE90" w14:textId="77777777" w:rsidR="0002467C" w:rsidRPr="00DF7919"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pPr>
    </w:p>
    <w:p w14:paraId="14690AF2" w14:textId="77777777" w:rsidR="00C45C99" w:rsidRPr="00DF7919" w:rsidRDefault="00C45C99"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pPr>
    </w:p>
    <w:sectPr w:rsidR="00C45C99" w:rsidRPr="00DF7919" w:rsidSect="00F312F6">
      <w:endnotePr>
        <w:numFmt w:val="decimal"/>
      </w:endnotePr>
      <w:pgSz w:w="12240" w:h="15840" w:code="1"/>
      <w:pgMar w:top="1872"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81E6" w14:textId="77777777" w:rsidR="00695657" w:rsidRDefault="00695657">
      <w:r>
        <w:separator/>
      </w:r>
    </w:p>
  </w:endnote>
  <w:endnote w:type="continuationSeparator" w:id="0">
    <w:p w14:paraId="1A6BEB9A" w14:textId="77777777" w:rsidR="00695657" w:rsidRDefault="00695657">
      <w:r>
        <w:continuationSeparator/>
      </w:r>
    </w:p>
  </w:endnote>
  <w:endnote w:type="continuationNotice" w:id="1">
    <w:p w14:paraId="0A4D8777" w14:textId="77777777" w:rsidR="00695657" w:rsidRDefault="00695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A24E" w14:textId="77777777" w:rsidR="001D1A56" w:rsidRDefault="001D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5E85" w14:textId="77777777" w:rsidR="001D1A56" w:rsidRDefault="001D1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31B3" w14:textId="77777777" w:rsidR="001D1A56" w:rsidRDefault="001D1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D6B" w14:textId="2937E70E" w:rsidR="00B82ABB" w:rsidRPr="00A67724" w:rsidRDefault="00B82ABB">
    <w:pPr>
      <w:pStyle w:val="Footer"/>
      <w:jc w:val="right"/>
      <w:rPr>
        <w:rFonts w:ascii="Times New Roman" w:hAnsi="Times New Roman"/>
      </w:rPr>
    </w:pPr>
    <w:r w:rsidRPr="00A67724">
      <w:rPr>
        <w:rFonts w:ascii="Times New Roman" w:hAnsi="Times New Roman"/>
      </w:rPr>
      <w:fldChar w:fldCharType="begin"/>
    </w:r>
    <w:r w:rsidRPr="00A67724">
      <w:rPr>
        <w:rFonts w:ascii="Times New Roman" w:hAnsi="Times New Roman"/>
      </w:rPr>
      <w:instrText xml:space="preserve"> PAGE   \* MERGEFORMAT </w:instrText>
    </w:r>
    <w:r w:rsidRPr="00A67724">
      <w:rPr>
        <w:rFonts w:ascii="Times New Roman" w:hAnsi="Times New Roman"/>
      </w:rPr>
      <w:fldChar w:fldCharType="separate"/>
    </w:r>
    <w:r>
      <w:rPr>
        <w:rFonts w:ascii="Times New Roman" w:hAnsi="Times New Roman"/>
        <w:noProof/>
      </w:rPr>
      <w:t>21</w:t>
    </w:r>
    <w:r w:rsidRPr="00A67724">
      <w:rPr>
        <w:rFonts w:ascii="Times New Roman" w:hAnsi="Times New Roman"/>
      </w:rPr>
      <w:fldChar w:fldCharType="end"/>
    </w:r>
  </w:p>
  <w:p w14:paraId="42C118A3" w14:textId="77777777" w:rsidR="00B82ABB" w:rsidRPr="00A67724" w:rsidRDefault="00B82ABB" w:rsidP="00A464FD">
    <w:pPr>
      <w:pStyle w:val="Footer"/>
      <w:jc w:val="right"/>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019B" w14:textId="77777777" w:rsidR="00695657" w:rsidRDefault="00695657">
      <w:r>
        <w:separator/>
      </w:r>
    </w:p>
  </w:footnote>
  <w:footnote w:type="continuationSeparator" w:id="0">
    <w:p w14:paraId="02895660" w14:textId="77777777" w:rsidR="00695657" w:rsidRDefault="00695657">
      <w:r>
        <w:continuationSeparator/>
      </w:r>
    </w:p>
  </w:footnote>
  <w:footnote w:type="continuationNotice" w:id="1">
    <w:p w14:paraId="027155F0" w14:textId="77777777" w:rsidR="00695657" w:rsidRDefault="00695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CB7D" w14:textId="77777777" w:rsidR="001D1A56" w:rsidRDefault="001D1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7A11" w14:textId="77777777" w:rsidR="001D1A56" w:rsidRDefault="001D1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F76" w14:textId="77777777" w:rsidR="001D1A56" w:rsidRDefault="001D1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736A" w14:textId="77777777" w:rsidR="00B82ABB" w:rsidRPr="008F7701" w:rsidRDefault="00B82AB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6E1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57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1555"/>
    <w:multiLevelType w:val="multilevel"/>
    <w:tmpl w:val="6C80CB76"/>
    <w:lvl w:ilvl="0">
      <w:start w:val="1"/>
      <w:numFmt w:val="upperRoman"/>
      <w:lvlText w:val="%1."/>
      <w:lvlJc w:val="left"/>
      <w:pPr>
        <w:ind w:left="1080" w:hanging="720"/>
      </w:pPr>
      <w:rPr>
        <w:rFonts w:hint="default"/>
      </w:rPr>
    </w:lvl>
    <w:lvl w:ilvl="1">
      <w:start w:val="1"/>
      <w:numFmt w:val="upperLetter"/>
      <w:lvlText w:val="II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9D74E3"/>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6D441F"/>
    <w:multiLevelType w:val="hybridMultilevel"/>
    <w:tmpl w:val="49AA917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5" w15:restartNumberingAfterBreak="0">
    <w:nsid w:val="0A516811"/>
    <w:multiLevelType w:val="hybridMultilevel"/>
    <w:tmpl w:val="29923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452BF"/>
    <w:multiLevelType w:val="hybridMultilevel"/>
    <w:tmpl w:val="52D428CC"/>
    <w:lvl w:ilvl="0" w:tplc="C588746C">
      <w:start w:val="1"/>
      <w:numFmt w:val="bullet"/>
      <w:pStyle w:val="TableListBullet1"/>
      <w:lvlText w:val="●"/>
      <w:lvlJc w:val="left"/>
      <w:pPr>
        <w:ind w:left="360" w:hanging="360"/>
      </w:pPr>
      <w:rPr>
        <w:rFonts w:ascii="Times New Roman" w:hAnsi="Times New Roman" w:hint="default"/>
        <w:sz w:val="18"/>
      </w:rPr>
    </w:lvl>
    <w:lvl w:ilvl="1" w:tplc="630A09F2">
      <w:start w:val="1"/>
      <w:numFmt w:val="bullet"/>
      <w:lvlText w:val="o"/>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16939"/>
    <w:multiLevelType w:val="hybridMultilevel"/>
    <w:tmpl w:val="DBD4EC4C"/>
    <w:lvl w:ilvl="0" w:tplc="E92836B2">
      <w:start w:val="1"/>
      <w:numFmt w:val="bullet"/>
      <w:pStyle w:val="TableBullet"/>
      <w:lvlText w:val="●"/>
      <w:lvlJc w:val="left"/>
      <w:pPr>
        <w:ind w:left="576" w:hanging="288"/>
      </w:pPr>
      <w:rPr>
        <w:rFonts w:ascii="Times New Roman" w:hAnsi="Times New Roman" w:hint="default"/>
        <w:sz w:val="20"/>
      </w:rPr>
    </w:lvl>
    <w:lvl w:ilvl="1" w:tplc="04090003">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0ECA0816"/>
    <w:multiLevelType w:val="hybridMultilevel"/>
    <w:tmpl w:val="C32ADF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04C718F"/>
    <w:multiLevelType w:val="hybridMultilevel"/>
    <w:tmpl w:val="F5D0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A1121"/>
    <w:multiLevelType w:val="multilevel"/>
    <w:tmpl w:val="55CCDD70"/>
    <w:styleLink w:val="Style1"/>
    <w:lvl w:ilvl="0">
      <w:start w:val="1"/>
      <w:numFmt w:val="upperRoman"/>
      <w:lvlText w:val="%1."/>
      <w:lvlJc w:val="left"/>
      <w:pPr>
        <w:ind w:left="1080" w:hanging="720"/>
      </w:pPr>
      <w:rPr>
        <w:rFonts w:hint="default"/>
      </w:rPr>
    </w:lvl>
    <w:lvl w:ilvl="1">
      <w:start w:val="1"/>
      <w:numFmt w:val="upperLetter"/>
      <w:lvlText w:val="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AE3776"/>
    <w:multiLevelType w:val="hybridMultilevel"/>
    <w:tmpl w:val="504E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E32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9123FF"/>
    <w:multiLevelType w:val="hybridMultilevel"/>
    <w:tmpl w:val="5972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6373C2"/>
    <w:multiLevelType w:val="hybridMultilevel"/>
    <w:tmpl w:val="B2B0A170"/>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EA2795"/>
    <w:multiLevelType w:val="hybridMultilevel"/>
    <w:tmpl w:val="7AEC3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1E6ABA"/>
    <w:multiLevelType w:val="hybridMultilevel"/>
    <w:tmpl w:val="599E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677CB"/>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1B4A52"/>
    <w:multiLevelType w:val="hybridMultilevel"/>
    <w:tmpl w:val="C94867A6"/>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B4573"/>
    <w:multiLevelType w:val="multilevel"/>
    <w:tmpl w:val="7984227C"/>
    <w:lvl w:ilvl="0">
      <w:start w:val="1"/>
      <w:numFmt w:val="upperLetter"/>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lowerRoman"/>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F785A"/>
    <w:multiLevelType w:val="hybridMultilevel"/>
    <w:tmpl w:val="D2640480"/>
    <w:lvl w:ilvl="0" w:tplc="F6164C94">
      <w:start w:val="1"/>
      <w:numFmt w:val="bullet"/>
      <w:pStyle w:val="ListBullet"/>
      <w:lvlText w:val="●"/>
      <w:lvlJc w:val="left"/>
      <w:pPr>
        <w:ind w:left="5490" w:hanging="360"/>
      </w:pPr>
      <w:rPr>
        <w:rFonts w:ascii="Times New Roman" w:hAnsi="Times New Roman" w:hint="default"/>
        <w:sz w:val="20"/>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2F9D6468"/>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AE3943"/>
    <w:multiLevelType w:val="multilevel"/>
    <w:tmpl w:val="6C80CB76"/>
    <w:lvl w:ilvl="0">
      <w:start w:val="1"/>
      <w:numFmt w:val="upperRoman"/>
      <w:lvlText w:val="%1."/>
      <w:lvlJc w:val="left"/>
      <w:pPr>
        <w:ind w:left="1080" w:hanging="720"/>
      </w:pPr>
      <w:rPr>
        <w:rFonts w:hint="default"/>
      </w:rPr>
    </w:lvl>
    <w:lvl w:ilvl="1">
      <w:start w:val="1"/>
      <w:numFmt w:val="upperLetter"/>
      <w:lvlText w:val="II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50D7C57"/>
    <w:multiLevelType w:val="hybridMultilevel"/>
    <w:tmpl w:val="F93AC764"/>
    <w:lvl w:ilvl="0" w:tplc="CB66BE96">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4" w15:restartNumberingAfterBreak="0">
    <w:nsid w:val="36A22FC1"/>
    <w:multiLevelType w:val="hybridMultilevel"/>
    <w:tmpl w:val="9668A21E"/>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E26A7"/>
    <w:multiLevelType w:val="hybridMultilevel"/>
    <w:tmpl w:val="1F6828E2"/>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38166D"/>
    <w:multiLevelType w:val="multilevel"/>
    <w:tmpl w:val="085CECD8"/>
    <w:lvl w:ilvl="0">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start w:val="1"/>
      <w:numFmt w:val="lowerLetter"/>
      <w:lvlText w:val="%2)"/>
      <w:lvlJc w:val="left"/>
      <w:pPr>
        <w:tabs>
          <w:tab w:val="num" w:pos="1080"/>
        </w:tabs>
        <w:ind w:left="1080" w:hanging="360"/>
      </w:pPr>
      <w:rPr>
        <w:rFonts w:cs="Times New Roman" w:hint="default"/>
        <w:b w:val="0"/>
        <w:i w:val="0"/>
      </w:rPr>
    </w:lvl>
    <w:lvl w:ilvl="2">
      <w:start w:val="1"/>
      <w:numFmt w:val="lowerRoman"/>
      <w:lvlText w:val="%3."/>
      <w:lvlJc w:val="left"/>
      <w:pPr>
        <w:tabs>
          <w:tab w:val="num" w:pos="1440"/>
        </w:tabs>
        <w:ind w:left="1440" w:hanging="360"/>
      </w:pPr>
      <w:rPr>
        <w:rFonts w:cs="Times New Roman" w:hint="default"/>
        <w:b w:val="0"/>
        <w:i w:val="0"/>
        <w:sz w:val="24"/>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15:restartNumberingAfterBreak="0">
    <w:nsid w:val="40164B9F"/>
    <w:multiLevelType w:val="multilevel"/>
    <w:tmpl w:val="D14CDEE0"/>
    <w:lvl w:ilvl="0">
      <w:start w:val="1"/>
      <w:numFmt w:val="none"/>
      <w:lvlText w:val="I."/>
      <w:lvlJc w:val="left"/>
      <w:pPr>
        <w:ind w:left="720" w:hanging="360"/>
      </w:pPr>
      <w:rPr>
        <w:rFonts w:hint="default"/>
        <w:b/>
      </w:rPr>
    </w:lvl>
    <w:lvl w:ilvl="1">
      <w:start w:val="1"/>
      <w:numFmt w:val="none"/>
      <w:lvlText w:val="I.A."/>
      <w:lvlJc w:val="left"/>
      <w:pPr>
        <w:ind w:left="1440" w:hanging="360"/>
      </w:pPr>
      <w:rPr>
        <w:rFonts w:hint="default"/>
        <w:b w:val="0"/>
        <w:i w:val="0"/>
      </w:rPr>
    </w:lvl>
    <w:lvl w:ilvl="2">
      <w:start w:val="1"/>
      <w:numFmt w:val="none"/>
      <w:lvlText w:val="I.A.1. "/>
      <w:lvlJc w:val="right"/>
      <w:pPr>
        <w:ind w:left="2160" w:hanging="180"/>
      </w:pPr>
      <w:rPr>
        <w:rFonts w:hint="default"/>
      </w:rPr>
    </w:lvl>
    <w:lvl w:ilvl="3">
      <w:start w:val="1"/>
      <w:numFmt w:val="none"/>
      <w:lvlText w:val="I.A.1.a. "/>
      <w:lvlJc w:val="left"/>
      <w:pPr>
        <w:ind w:left="2880" w:hanging="360"/>
      </w:pPr>
      <w:rPr>
        <w:rFonts w:hint="default"/>
      </w:rPr>
    </w:lvl>
    <w:lvl w:ilvl="4">
      <w:start w:val="1"/>
      <w:numFmt w:val="none"/>
      <w:lvlText w:val="I.A.1.a.i. "/>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121941"/>
    <w:multiLevelType w:val="hybridMultilevel"/>
    <w:tmpl w:val="92E60412"/>
    <w:lvl w:ilvl="0" w:tplc="B4EC45C2">
      <w:start w:val="1"/>
      <w:numFmt w:val="upperLetter"/>
      <w:lvlText w:val="IV.%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C2063"/>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FD2F81"/>
    <w:multiLevelType w:val="hybridMultilevel"/>
    <w:tmpl w:val="F012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F627F"/>
    <w:multiLevelType w:val="hybridMultilevel"/>
    <w:tmpl w:val="F2040D5C"/>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D0DF0"/>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E93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94051BE"/>
    <w:multiLevelType w:val="multilevel"/>
    <w:tmpl w:val="55CCDD70"/>
    <w:numStyleLink w:val="Style1"/>
  </w:abstractNum>
  <w:abstractNum w:abstractNumId="35" w15:restartNumberingAfterBreak="0">
    <w:nsid w:val="49D06C12"/>
    <w:multiLevelType w:val="hybridMultilevel"/>
    <w:tmpl w:val="FE98959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270639"/>
    <w:multiLevelType w:val="hybridMultilevel"/>
    <w:tmpl w:val="504E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25699"/>
    <w:multiLevelType w:val="hybridMultilevel"/>
    <w:tmpl w:val="DF60E5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E140FEE"/>
    <w:multiLevelType w:val="multilevel"/>
    <w:tmpl w:val="E5E87806"/>
    <w:lvl w:ilvl="0">
      <w:start w:val="1"/>
      <w:numFmt w:val="none"/>
      <w:lvlText w:val="IV.C.1"/>
      <w:lvlJc w:val="left"/>
      <w:pPr>
        <w:ind w:left="720" w:hanging="360"/>
      </w:pPr>
      <w:rPr>
        <w:rFonts w:hint="default"/>
        <w:b/>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962B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9F0BDD"/>
    <w:multiLevelType w:val="hybridMultilevel"/>
    <w:tmpl w:val="5C2099D0"/>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7F08E6"/>
    <w:multiLevelType w:val="hybridMultilevel"/>
    <w:tmpl w:val="1B0C0FAA"/>
    <w:lvl w:ilvl="0" w:tplc="0096BD46">
      <w:start w:val="1"/>
      <w:numFmt w:val="upperRoman"/>
      <w:lvlText w:val="%1."/>
      <w:lvlJc w:val="left"/>
      <w:pPr>
        <w:ind w:left="720" w:hanging="720"/>
      </w:pPr>
      <w:rPr>
        <w:rFonts w:cs="Times New Roman" w:hint="default"/>
      </w:rPr>
    </w:lvl>
    <w:lvl w:ilvl="1" w:tplc="4380EBD6">
      <w:start w:val="1"/>
      <w:numFmt w:val="decimal"/>
      <w:lvlText w:val="%2."/>
      <w:lvlJc w:val="left"/>
      <w:pPr>
        <w:ind w:left="1080" w:hanging="360"/>
      </w:pPr>
      <w:rPr>
        <w:rFonts w:cs="Times New Roman" w:hint="default"/>
        <w:b/>
        <w:i/>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5CD63F43"/>
    <w:multiLevelType w:val="hybridMultilevel"/>
    <w:tmpl w:val="E9AAC072"/>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578F8"/>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2397872"/>
    <w:multiLevelType w:val="hybridMultilevel"/>
    <w:tmpl w:val="E57A3A3A"/>
    <w:lvl w:ilvl="0" w:tplc="337096C6">
      <w:start w:val="4"/>
      <w:numFmt w:val="decimal"/>
      <w:pStyle w:val="ListNumb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24A7D26"/>
    <w:multiLevelType w:val="hybridMultilevel"/>
    <w:tmpl w:val="9ECA3F58"/>
    <w:lvl w:ilvl="0" w:tplc="4522756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0D24D4"/>
    <w:multiLevelType w:val="multilevel"/>
    <w:tmpl w:val="CBF88B90"/>
    <w:lvl w:ilvl="0">
      <w:start w:val="1"/>
      <w:numFmt w:val="upperRoman"/>
      <w:lvlText w:val="%1. "/>
      <w:lvlJc w:val="left"/>
      <w:pPr>
        <w:ind w:left="1080" w:hanging="720"/>
      </w:pPr>
      <w:rPr>
        <w:rFonts w:hint="default"/>
      </w:rPr>
    </w:lvl>
    <w:lvl w:ilvl="1">
      <w:start w:val="1"/>
      <w:numFmt w:val="upperLetter"/>
      <w:lvlText w:val="%1.%2. "/>
      <w:lvlJc w:val="left"/>
      <w:pPr>
        <w:ind w:left="2088" w:hanging="1368"/>
      </w:pPr>
      <w:rPr>
        <w:rFonts w:hint="default"/>
      </w:rPr>
    </w:lvl>
    <w:lvl w:ilvl="2">
      <w:start w:val="1"/>
      <w:numFmt w:val="decimal"/>
      <w:lvlText w:val="%1.%2.%3. "/>
      <w:lvlJc w:val="right"/>
      <w:pPr>
        <w:tabs>
          <w:tab w:val="num" w:pos="3384"/>
        </w:tabs>
        <w:ind w:left="3456" w:hanging="936"/>
      </w:pPr>
      <w:rPr>
        <w:rFonts w:ascii="Times New Roman" w:hAnsi="Times New Roman" w:hint="default"/>
        <w:b w:val="0"/>
      </w:rPr>
    </w:lvl>
    <w:lvl w:ilvl="3">
      <w:start w:val="1"/>
      <w:numFmt w:val="lowerLetter"/>
      <w:lvlText w:val="%1.%2.%3.%4. "/>
      <w:lvlJc w:val="left"/>
      <w:pPr>
        <w:ind w:left="4320" w:hanging="2160"/>
      </w:pPr>
      <w:rPr>
        <w:rFonts w:hint="default"/>
        <w:b w:val="0"/>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1791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3EA52B1"/>
    <w:multiLevelType w:val="hybridMultilevel"/>
    <w:tmpl w:val="3052266C"/>
    <w:lvl w:ilvl="0" w:tplc="94E218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FB24BE"/>
    <w:multiLevelType w:val="hybridMultilevel"/>
    <w:tmpl w:val="83D6253A"/>
    <w:lvl w:ilvl="0" w:tplc="0C380CD4">
      <w:start w:val="1"/>
      <w:numFmt w:val="decimal"/>
      <w:lvlText w:val="%1."/>
      <w:lvlJc w:val="left"/>
      <w:pPr>
        <w:ind w:left="720" w:hanging="360"/>
      </w:pPr>
      <w:rPr>
        <w:b/>
      </w:rPr>
    </w:lvl>
    <w:lvl w:ilvl="1" w:tplc="752EF94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30AFF"/>
    <w:multiLevelType w:val="hybridMultilevel"/>
    <w:tmpl w:val="F3720142"/>
    <w:lvl w:ilvl="0" w:tplc="A0F8D1A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535890"/>
    <w:multiLevelType w:val="multilevel"/>
    <w:tmpl w:val="0FB85CA6"/>
    <w:styleLink w:val="Style2"/>
    <w:lvl w:ilvl="0">
      <w:start w:val="1"/>
      <w:numFmt w:val="upperRoman"/>
      <w:lvlText w:val="%1."/>
      <w:lvlJc w:val="left"/>
      <w:pPr>
        <w:ind w:left="1080" w:hanging="720"/>
      </w:pPr>
      <w:rPr>
        <w:rFonts w:ascii="Vi.A" w:hAnsi="Vi.A" w:hint="default"/>
      </w:rPr>
    </w:lvl>
    <w:lvl w:ilvl="1">
      <w:start w:val="1"/>
      <w:numFmt w:val="upperLetter"/>
      <w:lvlText w:val="IV.%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9750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C6E7E3C"/>
    <w:multiLevelType w:val="multilevel"/>
    <w:tmpl w:val="A770E194"/>
    <w:styleLink w:val="Style4"/>
    <w:lvl w:ilvl="0">
      <w:start w:val="1"/>
      <w:numFmt w:val="upperRoman"/>
      <w:lvlText w:val="%1. "/>
      <w:lvlJc w:val="left"/>
      <w:pPr>
        <w:ind w:left="1080" w:hanging="720"/>
      </w:pPr>
      <w:rPr>
        <w:rFonts w:hint="default"/>
      </w:rPr>
    </w:lvl>
    <w:lvl w:ilvl="1">
      <w:start w:val="1"/>
      <w:numFmt w:val="decimal"/>
      <w:lvlText w:val="%1.%2. "/>
      <w:lvlJc w:val="left"/>
      <w:pPr>
        <w:ind w:left="2088" w:hanging="1368"/>
      </w:pPr>
      <w:rPr>
        <w:rFonts w:hint="default"/>
      </w:rPr>
    </w:lvl>
    <w:lvl w:ilvl="2">
      <w:start w:val="1"/>
      <w:numFmt w:val="lowerLetter"/>
      <w:lvlText w:val="%1.%2.%3. "/>
      <w:lvlJc w:val="right"/>
      <w:pPr>
        <w:tabs>
          <w:tab w:val="num" w:pos="3384"/>
        </w:tabs>
        <w:ind w:left="3456" w:hanging="936"/>
      </w:pPr>
      <w:rPr>
        <w:rFonts w:hint="default"/>
      </w:rPr>
    </w:lvl>
    <w:lvl w:ilvl="3">
      <w:start w:val="1"/>
      <w:numFmt w:val="lowerLetter"/>
      <w:lvlText w:val="%1.%2.%3.%4. "/>
      <w:lvlJc w:val="left"/>
      <w:pPr>
        <w:ind w:left="4320" w:hanging="2160"/>
      </w:pPr>
      <w:rPr>
        <w:rFonts w:hint="default"/>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504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0843F54"/>
    <w:multiLevelType w:val="multilevel"/>
    <w:tmpl w:val="85A8F79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4E074D0"/>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6223931"/>
    <w:multiLevelType w:val="multilevel"/>
    <w:tmpl w:val="0FB85CA6"/>
    <w:numStyleLink w:val="Style2"/>
  </w:abstractNum>
  <w:abstractNum w:abstractNumId="56" w15:restartNumberingAfterBreak="0">
    <w:nsid w:val="78E4223F"/>
    <w:multiLevelType w:val="multilevel"/>
    <w:tmpl w:val="0409001D"/>
    <w:styleLink w:val="Style3"/>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6F1007"/>
    <w:multiLevelType w:val="multilevel"/>
    <w:tmpl w:val="C0028B1C"/>
    <w:lvl w:ilvl="0">
      <w:start w:val="1"/>
      <w:numFmt w:val="upperRoman"/>
      <w:lvlText w:val="%1. "/>
      <w:lvlJc w:val="left"/>
      <w:pPr>
        <w:ind w:left="1080" w:hanging="720"/>
      </w:pPr>
      <w:rPr>
        <w:rFonts w:hint="default"/>
      </w:rPr>
    </w:lvl>
    <w:lvl w:ilvl="1">
      <w:start w:val="1"/>
      <w:numFmt w:val="upperLetter"/>
      <w:lvlText w:val="%1.%2. "/>
      <w:lvlJc w:val="left"/>
      <w:pPr>
        <w:ind w:left="2088" w:hanging="1368"/>
      </w:pPr>
      <w:rPr>
        <w:rFonts w:hint="default"/>
      </w:rPr>
    </w:lvl>
    <w:lvl w:ilvl="2">
      <w:start w:val="1"/>
      <w:numFmt w:val="lowerLetter"/>
      <w:lvlText w:val="%1.%2.%3. "/>
      <w:lvlJc w:val="right"/>
      <w:pPr>
        <w:tabs>
          <w:tab w:val="num" w:pos="3384"/>
        </w:tabs>
        <w:ind w:left="3456" w:hanging="936"/>
      </w:pPr>
      <w:rPr>
        <w:rFonts w:hint="default"/>
      </w:rPr>
    </w:lvl>
    <w:lvl w:ilvl="3">
      <w:start w:val="1"/>
      <w:numFmt w:val="lowerLetter"/>
      <w:lvlText w:val="%1.%2.%3.%4. "/>
      <w:lvlJc w:val="left"/>
      <w:pPr>
        <w:ind w:left="4320" w:hanging="2160"/>
      </w:pPr>
      <w:rPr>
        <w:rFonts w:hint="default"/>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504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0516163">
    <w:abstractNumId w:val="44"/>
  </w:num>
  <w:num w:numId="2" w16cid:durableId="669412073">
    <w:abstractNumId w:val="26"/>
  </w:num>
  <w:num w:numId="3" w16cid:durableId="299308262">
    <w:abstractNumId w:val="20"/>
  </w:num>
  <w:num w:numId="4" w16cid:durableId="204489217">
    <w:abstractNumId w:val="49"/>
  </w:num>
  <w:num w:numId="5" w16cid:durableId="1326469540">
    <w:abstractNumId w:val="6"/>
  </w:num>
  <w:num w:numId="6" w16cid:durableId="312414130">
    <w:abstractNumId w:val="7"/>
  </w:num>
  <w:num w:numId="7" w16cid:durableId="1653636426">
    <w:abstractNumId w:val="45"/>
  </w:num>
  <w:num w:numId="8" w16cid:durableId="292366105">
    <w:abstractNumId w:val="38"/>
  </w:num>
  <w:num w:numId="9" w16cid:durableId="1356613679">
    <w:abstractNumId w:val="35"/>
  </w:num>
  <w:num w:numId="10" w16cid:durableId="389573587">
    <w:abstractNumId w:val="28"/>
  </w:num>
  <w:num w:numId="11" w16cid:durableId="1414232977">
    <w:abstractNumId w:val="40"/>
  </w:num>
  <w:num w:numId="12" w16cid:durableId="696585488">
    <w:abstractNumId w:val="47"/>
  </w:num>
  <w:num w:numId="13" w16cid:durableId="497574782">
    <w:abstractNumId w:val="42"/>
  </w:num>
  <w:num w:numId="14" w16cid:durableId="446390727">
    <w:abstractNumId w:val="25"/>
  </w:num>
  <w:num w:numId="15" w16cid:durableId="1148088420">
    <w:abstractNumId w:val="37"/>
  </w:num>
  <w:num w:numId="16" w16cid:durableId="646083480">
    <w:abstractNumId w:val="14"/>
  </w:num>
  <w:num w:numId="17" w16cid:durableId="1418289984">
    <w:abstractNumId w:val="24"/>
  </w:num>
  <w:num w:numId="18" w16cid:durableId="979502136">
    <w:abstractNumId w:val="31"/>
  </w:num>
  <w:num w:numId="19" w16cid:durableId="383217605">
    <w:abstractNumId w:val="18"/>
  </w:num>
  <w:num w:numId="20" w16cid:durableId="1067344949">
    <w:abstractNumId w:val="4"/>
  </w:num>
  <w:num w:numId="21" w16cid:durableId="791872597">
    <w:abstractNumId w:val="41"/>
  </w:num>
  <w:num w:numId="22" w16cid:durableId="627512575">
    <w:abstractNumId w:val="5"/>
  </w:num>
  <w:num w:numId="23" w16cid:durableId="499809590">
    <w:abstractNumId w:val="13"/>
  </w:num>
  <w:num w:numId="24" w16cid:durableId="1577326383">
    <w:abstractNumId w:val="36"/>
  </w:num>
  <w:num w:numId="25" w16cid:durableId="90978513">
    <w:abstractNumId w:val="11"/>
  </w:num>
  <w:num w:numId="26" w16cid:durableId="338897677">
    <w:abstractNumId w:val="48"/>
  </w:num>
  <w:num w:numId="27" w16cid:durableId="1413501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0255418">
    <w:abstractNumId w:val="30"/>
  </w:num>
  <w:num w:numId="29" w16cid:durableId="2058967959">
    <w:abstractNumId w:val="16"/>
  </w:num>
  <w:num w:numId="30" w16cid:durableId="776215630">
    <w:abstractNumId w:val="32"/>
  </w:num>
  <w:num w:numId="31" w16cid:durableId="2146727619">
    <w:abstractNumId w:val="17"/>
  </w:num>
  <w:num w:numId="32" w16cid:durableId="57675473">
    <w:abstractNumId w:val="8"/>
  </w:num>
  <w:num w:numId="33" w16cid:durableId="1179542434">
    <w:abstractNumId w:val="3"/>
  </w:num>
  <w:num w:numId="34" w16cid:durableId="456683428">
    <w:abstractNumId w:val="38"/>
    <w:lvlOverride w:ilvl="0">
      <w:lvl w:ilvl="0">
        <w:start w:val="1"/>
        <w:numFmt w:val="none"/>
        <w:lvlText w:val="IV.C.1"/>
        <w:lvlJc w:val="left"/>
        <w:pPr>
          <w:ind w:left="720" w:hanging="360"/>
        </w:pPr>
        <w:rPr>
          <w:rFonts w:hint="default"/>
          <w:b/>
        </w:rPr>
      </w:lvl>
    </w:lvlOverride>
    <w:lvlOverride w:ilvl="1">
      <w:lvl w:ilvl="1">
        <w:start w:val="1"/>
        <w:numFmt w:val="none"/>
        <w:lvlText w:val="IV.C.1.a"/>
        <w:lvlJc w:val="left"/>
        <w:pPr>
          <w:ind w:left="1440" w:hanging="360"/>
        </w:pPr>
        <w:rPr>
          <w:rFonts w:hint="default"/>
          <w:b w:val="0"/>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130556747">
    <w:abstractNumId w:val="27"/>
  </w:num>
  <w:num w:numId="36" w16cid:durableId="483476935">
    <w:abstractNumId w:val="46"/>
  </w:num>
  <w:num w:numId="37" w16cid:durableId="13306813">
    <w:abstractNumId w:val="0"/>
  </w:num>
  <w:num w:numId="38" w16cid:durableId="898324530">
    <w:abstractNumId w:val="10"/>
  </w:num>
  <w:num w:numId="39" w16cid:durableId="829759210">
    <w:abstractNumId w:val="2"/>
  </w:num>
  <w:num w:numId="40" w16cid:durableId="993409104">
    <w:abstractNumId w:val="50"/>
  </w:num>
  <w:num w:numId="41" w16cid:durableId="528225294">
    <w:abstractNumId w:val="55"/>
  </w:num>
  <w:num w:numId="42" w16cid:durableId="1748379571">
    <w:abstractNumId w:val="1"/>
  </w:num>
  <w:num w:numId="43" w16cid:durableId="749814555">
    <w:abstractNumId w:val="12"/>
  </w:num>
  <w:num w:numId="44" w16cid:durableId="1885631456">
    <w:abstractNumId w:val="22"/>
  </w:num>
  <w:num w:numId="45" w16cid:durableId="273709079">
    <w:abstractNumId w:val="34"/>
  </w:num>
  <w:num w:numId="46" w16cid:durableId="1362974738">
    <w:abstractNumId w:val="53"/>
  </w:num>
  <w:num w:numId="47" w16cid:durableId="2065787954">
    <w:abstractNumId w:val="39"/>
  </w:num>
  <w:num w:numId="48" w16cid:durableId="1332028295">
    <w:abstractNumId w:val="56"/>
  </w:num>
  <w:num w:numId="49" w16cid:durableId="768427658">
    <w:abstractNumId w:val="21"/>
  </w:num>
  <w:num w:numId="50" w16cid:durableId="1079252419">
    <w:abstractNumId w:val="33"/>
  </w:num>
  <w:num w:numId="51" w16cid:durableId="1929731504">
    <w:abstractNumId w:val="19"/>
  </w:num>
  <w:num w:numId="52" w16cid:durableId="1941986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9597607">
    <w:abstractNumId w:val="21"/>
    <w:lvlOverride w:ilvl="0">
      <w:lvl w:ilvl="0">
        <w:start w:val="1"/>
        <w:numFmt w:val="upperLetter"/>
        <w:lvlText w:val="%1. "/>
        <w:lvlJc w:val="left"/>
        <w:pPr>
          <w:ind w:left="648" w:hanging="648"/>
        </w:pPr>
        <w:rPr>
          <w:rFonts w:hint="default"/>
        </w:rPr>
      </w:lvl>
    </w:lvlOverride>
    <w:lvlOverride w:ilvl="1">
      <w:lvl w:ilvl="1">
        <w:start w:val="1"/>
        <w:numFmt w:val="decimal"/>
        <w:lvlText w:val="%1.%2. "/>
        <w:lvlJc w:val="left"/>
        <w:pPr>
          <w:ind w:left="1512" w:hanging="1152"/>
        </w:pPr>
        <w:rPr>
          <w:rFonts w:hint="default"/>
        </w:rPr>
      </w:lvl>
    </w:lvlOverride>
    <w:lvlOverride w:ilvl="2">
      <w:lvl w:ilvl="2">
        <w:start w:val="1"/>
        <w:numFmt w:val="lowerLetter"/>
        <w:lvlText w:val="%1.%2.%3. "/>
        <w:lvlJc w:val="left"/>
        <w:pPr>
          <w:ind w:left="2160" w:hanging="1440"/>
        </w:pPr>
        <w:rPr>
          <w:rFonts w:hint="default"/>
        </w:rPr>
      </w:lvl>
    </w:lvlOverride>
    <w:lvlOverride w:ilvl="3">
      <w:lvl w:ilvl="3">
        <w:start w:val="1"/>
        <w:numFmt w:val="lowerRoman"/>
        <w:lvlText w:val="%1.%2.%3.%4 "/>
        <w:lvlJc w:val="left"/>
        <w:pPr>
          <w:ind w:left="2664" w:hanging="1584"/>
        </w:pPr>
        <w:rPr>
          <w:rFonts w:hint="default"/>
        </w:rPr>
      </w:lvl>
    </w:lvlOverride>
    <w:lvlOverride w:ilvl="4">
      <w:lvl w:ilvl="4">
        <w:start w:val="1"/>
        <w:numFmt w:val="lowerLetter"/>
        <w:lvlText w:val="%1.%2.%3.%4.%5"/>
        <w:lvlJc w:val="left"/>
        <w:pPr>
          <w:ind w:left="2952" w:hanging="1512"/>
        </w:pPr>
        <w:rPr>
          <w:rFonts w:hint="default"/>
        </w:rPr>
      </w:lvl>
    </w:lvlOverride>
    <w:lvlOverride w:ilvl="5">
      <w:lvl w:ilvl="5">
        <w:start w:val="1"/>
        <w:numFmt w:val="decimal"/>
        <w:lvlText w:val="%1.%2.%3.%4.%5.%6. "/>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12890945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5183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80240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17354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8783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9262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1397755">
    <w:abstractNumId w:val="52"/>
  </w:num>
  <w:num w:numId="61" w16cid:durableId="893353773">
    <w:abstractNumId w:val="57"/>
  </w:num>
  <w:num w:numId="62" w16cid:durableId="702289993">
    <w:abstractNumId w:val="51"/>
  </w:num>
  <w:num w:numId="63" w16cid:durableId="1664311556">
    <w:abstractNumId w:val="21"/>
    <w:lvlOverride w:ilvl="0">
      <w:lvl w:ilvl="0">
        <w:start w:val="1"/>
        <w:numFmt w:val="upperLetter"/>
        <w:lvlText w:val="%1. "/>
        <w:lvlJc w:val="left"/>
        <w:pPr>
          <w:ind w:left="648" w:hanging="648"/>
        </w:pPr>
      </w:lvl>
    </w:lvlOverride>
    <w:lvlOverride w:ilvl="1">
      <w:lvl w:ilvl="1">
        <w:start w:val="1"/>
        <w:numFmt w:val="decimal"/>
        <w:lvlText w:val="%1.%2. "/>
        <w:lvlJc w:val="left"/>
        <w:pPr>
          <w:ind w:left="1512" w:hanging="1152"/>
        </w:pPr>
      </w:lvl>
    </w:lvlOverride>
    <w:lvlOverride w:ilvl="2">
      <w:lvl w:ilvl="2">
        <w:start w:val="1"/>
        <w:numFmt w:val="lowerLetter"/>
        <w:lvlText w:val="%1.%2.%3. "/>
        <w:lvlJc w:val="left"/>
        <w:pPr>
          <w:ind w:left="1080" w:hanging="1440"/>
        </w:pPr>
      </w:lvl>
    </w:lvlOverride>
    <w:lvlOverride w:ilvl="3">
      <w:lvl w:ilvl="3">
        <w:start w:val="1"/>
        <w:numFmt w:val="lowerRoman"/>
        <w:lvlText w:val="%1.%2.%3.%4 "/>
        <w:lvlJc w:val="left"/>
        <w:pPr>
          <w:ind w:left="2664" w:hanging="1584"/>
        </w:pPr>
      </w:lvl>
    </w:lvlOverride>
    <w:lvlOverride w:ilvl="4">
      <w:lvl w:ilvl="4">
        <w:start w:val="1"/>
        <w:numFmt w:val="lowerLetter"/>
        <w:lvlText w:val="%1.%2.%3.%4.%5"/>
        <w:lvlJc w:val="left"/>
        <w:pPr>
          <w:ind w:left="2952" w:hanging="1512"/>
        </w:pPr>
      </w:lvl>
    </w:lvlOverride>
    <w:lvlOverride w:ilvl="5">
      <w:lvl w:ilvl="5">
        <w:start w:val="1"/>
        <w:numFmt w:val="decimal"/>
        <w:lvlText w:val="%1.%2.%3.%4.%5.%6. "/>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4" w16cid:durableId="192227804">
    <w:abstractNumId w:val="9"/>
  </w:num>
  <w:num w:numId="65" w16cid:durableId="1853378298">
    <w:abstractNumId w:val="54"/>
  </w:num>
  <w:num w:numId="66" w16cid:durableId="617226242">
    <w:abstractNumId w:val="23"/>
  </w:num>
  <w:num w:numId="67" w16cid:durableId="2117675941">
    <w:abstractNumId w:val="43"/>
  </w:num>
  <w:num w:numId="68" w16cid:durableId="92635294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BD"/>
    <w:rsid w:val="00000699"/>
    <w:rsid w:val="0000158A"/>
    <w:rsid w:val="000020F4"/>
    <w:rsid w:val="000031A7"/>
    <w:rsid w:val="000041DE"/>
    <w:rsid w:val="00010441"/>
    <w:rsid w:val="00011317"/>
    <w:rsid w:val="0001159C"/>
    <w:rsid w:val="000123D5"/>
    <w:rsid w:val="0001269C"/>
    <w:rsid w:val="00013185"/>
    <w:rsid w:val="000136EC"/>
    <w:rsid w:val="00013E2C"/>
    <w:rsid w:val="000143C9"/>
    <w:rsid w:val="00014F52"/>
    <w:rsid w:val="00015D60"/>
    <w:rsid w:val="00020136"/>
    <w:rsid w:val="000209A2"/>
    <w:rsid w:val="00020A56"/>
    <w:rsid w:val="00020BA8"/>
    <w:rsid w:val="000218DB"/>
    <w:rsid w:val="00021D9D"/>
    <w:rsid w:val="00022272"/>
    <w:rsid w:val="00022C86"/>
    <w:rsid w:val="000245EF"/>
    <w:rsid w:val="0002467C"/>
    <w:rsid w:val="0002591E"/>
    <w:rsid w:val="000260E0"/>
    <w:rsid w:val="00026705"/>
    <w:rsid w:val="000270FA"/>
    <w:rsid w:val="00027877"/>
    <w:rsid w:val="00027B24"/>
    <w:rsid w:val="00030223"/>
    <w:rsid w:val="00030243"/>
    <w:rsid w:val="000303D1"/>
    <w:rsid w:val="00030690"/>
    <w:rsid w:val="00031037"/>
    <w:rsid w:val="00031340"/>
    <w:rsid w:val="00031686"/>
    <w:rsid w:val="00031CD5"/>
    <w:rsid w:val="00033531"/>
    <w:rsid w:val="00033B5E"/>
    <w:rsid w:val="00033D76"/>
    <w:rsid w:val="0003514B"/>
    <w:rsid w:val="000358FF"/>
    <w:rsid w:val="00035E06"/>
    <w:rsid w:val="00036459"/>
    <w:rsid w:val="00036942"/>
    <w:rsid w:val="00037B57"/>
    <w:rsid w:val="00037B68"/>
    <w:rsid w:val="00040046"/>
    <w:rsid w:val="000410B3"/>
    <w:rsid w:val="000411EF"/>
    <w:rsid w:val="00041241"/>
    <w:rsid w:val="0004143F"/>
    <w:rsid w:val="0004178F"/>
    <w:rsid w:val="00041A92"/>
    <w:rsid w:val="00041B89"/>
    <w:rsid w:val="000420EB"/>
    <w:rsid w:val="000427EC"/>
    <w:rsid w:val="00043281"/>
    <w:rsid w:val="0004350F"/>
    <w:rsid w:val="00043700"/>
    <w:rsid w:val="00044925"/>
    <w:rsid w:val="000454CE"/>
    <w:rsid w:val="0004558F"/>
    <w:rsid w:val="0004574B"/>
    <w:rsid w:val="00045CC1"/>
    <w:rsid w:val="0004736C"/>
    <w:rsid w:val="0005013D"/>
    <w:rsid w:val="00050E59"/>
    <w:rsid w:val="00052429"/>
    <w:rsid w:val="00053110"/>
    <w:rsid w:val="000533F7"/>
    <w:rsid w:val="000535AA"/>
    <w:rsid w:val="00055906"/>
    <w:rsid w:val="0005625F"/>
    <w:rsid w:val="00056A75"/>
    <w:rsid w:val="000575C1"/>
    <w:rsid w:val="00060258"/>
    <w:rsid w:val="00060398"/>
    <w:rsid w:val="00060696"/>
    <w:rsid w:val="0006224E"/>
    <w:rsid w:val="00062395"/>
    <w:rsid w:val="00062468"/>
    <w:rsid w:val="00063BA4"/>
    <w:rsid w:val="00064163"/>
    <w:rsid w:val="00065B1C"/>
    <w:rsid w:val="00067848"/>
    <w:rsid w:val="0007017B"/>
    <w:rsid w:val="00070604"/>
    <w:rsid w:val="000710E3"/>
    <w:rsid w:val="000728A7"/>
    <w:rsid w:val="00073681"/>
    <w:rsid w:val="0007476B"/>
    <w:rsid w:val="00074CE2"/>
    <w:rsid w:val="00075BCB"/>
    <w:rsid w:val="00076094"/>
    <w:rsid w:val="00076499"/>
    <w:rsid w:val="000769B3"/>
    <w:rsid w:val="0008047A"/>
    <w:rsid w:val="000821B0"/>
    <w:rsid w:val="000834CA"/>
    <w:rsid w:val="00083D1A"/>
    <w:rsid w:val="000848C1"/>
    <w:rsid w:val="00084B33"/>
    <w:rsid w:val="00085197"/>
    <w:rsid w:val="00085858"/>
    <w:rsid w:val="000858CF"/>
    <w:rsid w:val="00087019"/>
    <w:rsid w:val="000876D6"/>
    <w:rsid w:val="00087B03"/>
    <w:rsid w:val="00090B95"/>
    <w:rsid w:val="00090F87"/>
    <w:rsid w:val="000920D9"/>
    <w:rsid w:val="000934FB"/>
    <w:rsid w:val="0009360C"/>
    <w:rsid w:val="00095C20"/>
    <w:rsid w:val="00097061"/>
    <w:rsid w:val="000A06DF"/>
    <w:rsid w:val="000A09EA"/>
    <w:rsid w:val="000A1F55"/>
    <w:rsid w:val="000A30F0"/>
    <w:rsid w:val="000A3458"/>
    <w:rsid w:val="000A3486"/>
    <w:rsid w:val="000A35AA"/>
    <w:rsid w:val="000A3A5C"/>
    <w:rsid w:val="000A547A"/>
    <w:rsid w:val="000A67D0"/>
    <w:rsid w:val="000A6D10"/>
    <w:rsid w:val="000A71FD"/>
    <w:rsid w:val="000B02F6"/>
    <w:rsid w:val="000B0CCB"/>
    <w:rsid w:val="000B1002"/>
    <w:rsid w:val="000B1979"/>
    <w:rsid w:val="000B1B93"/>
    <w:rsid w:val="000B1EC0"/>
    <w:rsid w:val="000B1F4B"/>
    <w:rsid w:val="000B2234"/>
    <w:rsid w:val="000B2618"/>
    <w:rsid w:val="000B3C24"/>
    <w:rsid w:val="000B3EC8"/>
    <w:rsid w:val="000B446F"/>
    <w:rsid w:val="000B4E60"/>
    <w:rsid w:val="000B622D"/>
    <w:rsid w:val="000B7093"/>
    <w:rsid w:val="000B71F6"/>
    <w:rsid w:val="000B7D45"/>
    <w:rsid w:val="000C0582"/>
    <w:rsid w:val="000C3AC0"/>
    <w:rsid w:val="000C44DA"/>
    <w:rsid w:val="000C57DC"/>
    <w:rsid w:val="000C5CF8"/>
    <w:rsid w:val="000C61FB"/>
    <w:rsid w:val="000C6322"/>
    <w:rsid w:val="000C66F4"/>
    <w:rsid w:val="000C6B56"/>
    <w:rsid w:val="000C6F9E"/>
    <w:rsid w:val="000D038E"/>
    <w:rsid w:val="000D04DA"/>
    <w:rsid w:val="000D062F"/>
    <w:rsid w:val="000D069A"/>
    <w:rsid w:val="000D0727"/>
    <w:rsid w:val="000D0D93"/>
    <w:rsid w:val="000D22AD"/>
    <w:rsid w:val="000D251A"/>
    <w:rsid w:val="000D3AB3"/>
    <w:rsid w:val="000D3CFA"/>
    <w:rsid w:val="000D4D91"/>
    <w:rsid w:val="000D5375"/>
    <w:rsid w:val="000D62C2"/>
    <w:rsid w:val="000D6D1B"/>
    <w:rsid w:val="000D7071"/>
    <w:rsid w:val="000D7B69"/>
    <w:rsid w:val="000E0285"/>
    <w:rsid w:val="000E039D"/>
    <w:rsid w:val="000E0FD8"/>
    <w:rsid w:val="000E1097"/>
    <w:rsid w:val="000E154D"/>
    <w:rsid w:val="000E2059"/>
    <w:rsid w:val="000E21F8"/>
    <w:rsid w:val="000E2697"/>
    <w:rsid w:val="000E2989"/>
    <w:rsid w:val="000E2D98"/>
    <w:rsid w:val="000E3463"/>
    <w:rsid w:val="000E35F7"/>
    <w:rsid w:val="000E4083"/>
    <w:rsid w:val="000E4336"/>
    <w:rsid w:val="000E4479"/>
    <w:rsid w:val="000E645A"/>
    <w:rsid w:val="000E65AA"/>
    <w:rsid w:val="000E6973"/>
    <w:rsid w:val="000E69E2"/>
    <w:rsid w:val="000F036B"/>
    <w:rsid w:val="000F0EE5"/>
    <w:rsid w:val="000F1BD0"/>
    <w:rsid w:val="000F214D"/>
    <w:rsid w:val="000F2711"/>
    <w:rsid w:val="000F2A48"/>
    <w:rsid w:val="000F335D"/>
    <w:rsid w:val="000F49E1"/>
    <w:rsid w:val="000F4B9D"/>
    <w:rsid w:val="000F5875"/>
    <w:rsid w:val="000F5C9E"/>
    <w:rsid w:val="000F69D8"/>
    <w:rsid w:val="000F6B85"/>
    <w:rsid w:val="000F7260"/>
    <w:rsid w:val="000F7EB8"/>
    <w:rsid w:val="00100518"/>
    <w:rsid w:val="00100B1B"/>
    <w:rsid w:val="00103450"/>
    <w:rsid w:val="00103B78"/>
    <w:rsid w:val="00103EE4"/>
    <w:rsid w:val="00104254"/>
    <w:rsid w:val="001046F2"/>
    <w:rsid w:val="00105E43"/>
    <w:rsid w:val="0010603D"/>
    <w:rsid w:val="00106141"/>
    <w:rsid w:val="0010658F"/>
    <w:rsid w:val="00106BE0"/>
    <w:rsid w:val="00106EF2"/>
    <w:rsid w:val="00107AFC"/>
    <w:rsid w:val="00107DD2"/>
    <w:rsid w:val="00110C6E"/>
    <w:rsid w:val="00110F1B"/>
    <w:rsid w:val="00111815"/>
    <w:rsid w:val="00112350"/>
    <w:rsid w:val="0011241D"/>
    <w:rsid w:val="001149CC"/>
    <w:rsid w:val="00114BD6"/>
    <w:rsid w:val="00115CFF"/>
    <w:rsid w:val="00116392"/>
    <w:rsid w:val="00116ACE"/>
    <w:rsid w:val="00116AEF"/>
    <w:rsid w:val="00117600"/>
    <w:rsid w:val="001202C8"/>
    <w:rsid w:val="00120D23"/>
    <w:rsid w:val="00121969"/>
    <w:rsid w:val="00121D40"/>
    <w:rsid w:val="00124AB7"/>
    <w:rsid w:val="00124E27"/>
    <w:rsid w:val="001257E4"/>
    <w:rsid w:val="00125E2B"/>
    <w:rsid w:val="00126539"/>
    <w:rsid w:val="0012656F"/>
    <w:rsid w:val="0012657E"/>
    <w:rsid w:val="00126993"/>
    <w:rsid w:val="00127594"/>
    <w:rsid w:val="00127E02"/>
    <w:rsid w:val="001305E5"/>
    <w:rsid w:val="00131F47"/>
    <w:rsid w:val="00132F6A"/>
    <w:rsid w:val="00133CC0"/>
    <w:rsid w:val="00133DD6"/>
    <w:rsid w:val="001343B4"/>
    <w:rsid w:val="001356D6"/>
    <w:rsid w:val="001379E2"/>
    <w:rsid w:val="001406D1"/>
    <w:rsid w:val="001416AD"/>
    <w:rsid w:val="001419EA"/>
    <w:rsid w:val="00142023"/>
    <w:rsid w:val="00142FF3"/>
    <w:rsid w:val="00143413"/>
    <w:rsid w:val="00143602"/>
    <w:rsid w:val="00144CF7"/>
    <w:rsid w:val="00145A74"/>
    <w:rsid w:val="00146FEE"/>
    <w:rsid w:val="0015141D"/>
    <w:rsid w:val="001529FC"/>
    <w:rsid w:val="001537DA"/>
    <w:rsid w:val="00153812"/>
    <w:rsid w:val="001546F9"/>
    <w:rsid w:val="00154759"/>
    <w:rsid w:val="00155510"/>
    <w:rsid w:val="00160956"/>
    <w:rsid w:val="00161010"/>
    <w:rsid w:val="0016142A"/>
    <w:rsid w:val="00161D1E"/>
    <w:rsid w:val="00161E03"/>
    <w:rsid w:val="00162411"/>
    <w:rsid w:val="00162649"/>
    <w:rsid w:val="0016472D"/>
    <w:rsid w:val="00165E4E"/>
    <w:rsid w:val="00165E77"/>
    <w:rsid w:val="00166E9E"/>
    <w:rsid w:val="00166F3C"/>
    <w:rsid w:val="001677BB"/>
    <w:rsid w:val="0017008D"/>
    <w:rsid w:val="00170EE3"/>
    <w:rsid w:val="001738DB"/>
    <w:rsid w:val="00173FC2"/>
    <w:rsid w:val="00174F35"/>
    <w:rsid w:val="001751CB"/>
    <w:rsid w:val="00175DEC"/>
    <w:rsid w:val="00175E07"/>
    <w:rsid w:val="00176105"/>
    <w:rsid w:val="001767C6"/>
    <w:rsid w:val="00177107"/>
    <w:rsid w:val="001771AA"/>
    <w:rsid w:val="00177284"/>
    <w:rsid w:val="00177E20"/>
    <w:rsid w:val="0018054C"/>
    <w:rsid w:val="001805BB"/>
    <w:rsid w:val="00181913"/>
    <w:rsid w:val="00182244"/>
    <w:rsid w:val="001824A4"/>
    <w:rsid w:val="00182E75"/>
    <w:rsid w:val="001837EB"/>
    <w:rsid w:val="00183A28"/>
    <w:rsid w:val="00183F98"/>
    <w:rsid w:val="001843D7"/>
    <w:rsid w:val="00184ECA"/>
    <w:rsid w:val="001852A0"/>
    <w:rsid w:val="00186243"/>
    <w:rsid w:val="00186618"/>
    <w:rsid w:val="00186D5A"/>
    <w:rsid w:val="00190275"/>
    <w:rsid w:val="00191CD6"/>
    <w:rsid w:val="00191F87"/>
    <w:rsid w:val="00192AF7"/>
    <w:rsid w:val="001938BF"/>
    <w:rsid w:val="00194586"/>
    <w:rsid w:val="00194702"/>
    <w:rsid w:val="001956AD"/>
    <w:rsid w:val="00195FD4"/>
    <w:rsid w:val="001965B3"/>
    <w:rsid w:val="00196A14"/>
    <w:rsid w:val="00196C77"/>
    <w:rsid w:val="00196DBB"/>
    <w:rsid w:val="001A1803"/>
    <w:rsid w:val="001A1E20"/>
    <w:rsid w:val="001A22C0"/>
    <w:rsid w:val="001A2F2C"/>
    <w:rsid w:val="001A3CB0"/>
    <w:rsid w:val="001A3D2C"/>
    <w:rsid w:val="001A5459"/>
    <w:rsid w:val="001A66D5"/>
    <w:rsid w:val="001A674E"/>
    <w:rsid w:val="001A71B0"/>
    <w:rsid w:val="001A7C7E"/>
    <w:rsid w:val="001B07C4"/>
    <w:rsid w:val="001B21DE"/>
    <w:rsid w:val="001B274F"/>
    <w:rsid w:val="001B289A"/>
    <w:rsid w:val="001B2C70"/>
    <w:rsid w:val="001B3323"/>
    <w:rsid w:val="001B4988"/>
    <w:rsid w:val="001B508A"/>
    <w:rsid w:val="001B5926"/>
    <w:rsid w:val="001B5AD8"/>
    <w:rsid w:val="001B641C"/>
    <w:rsid w:val="001B6476"/>
    <w:rsid w:val="001B6687"/>
    <w:rsid w:val="001B6DE2"/>
    <w:rsid w:val="001B70DC"/>
    <w:rsid w:val="001B7528"/>
    <w:rsid w:val="001B7719"/>
    <w:rsid w:val="001B796D"/>
    <w:rsid w:val="001C1071"/>
    <w:rsid w:val="001C21A3"/>
    <w:rsid w:val="001C2593"/>
    <w:rsid w:val="001C3254"/>
    <w:rsid w:val="001C33D3"/>
    <w:rsid w:val="001C4455"/>
    <w:rsid w:val="001C4630"/>
    <w:rsid w:val="001C4AB5"/>
    <w:rsid w:val="001C5A1E"/>
    <w:rsid w:val="001C60C1"/>
    <w:rsid w:val="001C6582"/>
    <w:rsid w:val="001C68CA"/>
    <w:rsid w:val="001C76DB"/>
    <w:rsid w:val="001C7713"/>
    <w:rsid w:val="001D046C"/>
    <w:rsid w:val="001D04B5"/>
    <w:rsid w:val="001D0956"/>
    <w:rsid w:val="001D1A56"/>
    <w:rsid w:val="001D244B"/>
    <w:rsid w:val="001D434B"/>
    <w:rsid w:val="001D4555"/>
    <w:rsid w:val="001D64A6"/>
    <w:rsid w:val="001D6A3E"/>
    <w:rsid w:val="001D7852"/>
    <w:rsid w:val="001D7A91"/>
    <w:rsid w:val="001E15DA"/>
    <w:rsid w:val="001E18DD"/>
    <w:rsid w:val="001E2024"/>
    <w:rsid w:val="001E22D7"/>
    <w:rsid w:val="001E2B00"/>
    <w:rsid w:val="001E3062"/>
    <w:rsid w:val="001E3744"/>
    <w:rsid w:val="001E68DA"/>
    <w:rsid w:val="001E71CF"/>
    <w:rsid w:val="001E7634"/>
    <w:rsid w:val="001E7DCB"/>
    <w:rsid w:val="001F155D"/>
    <w:rsid w:val="001F3646"/>
    <w:rsid w:val="001F4405"/>
    <w:rsid w:val="001F4B48"/>
    <w:rsid w:val="001F4EC0"/>
    <w:rsid w:val="001F67B5"/>
    <w:rsid w:val="001F6BA6"/>
    <w:rsid w:val="001F7153"/>
    <w:rsid w:val="001F7602"/>
    <w:rsid w:val="00200BDF"/>
    <w:rsid w:val="0020142D"/>
    <w:rsid w:val="0020153B"/>
    <w:rsid w:val="0020470B"/>
    <w:rsid w:val="00205CE8"/>
    <w:rsid w:val="00205EC0"/>
    <w:rsid w:val="00206028"/>
    <w:rsid w:val="0020711C"/>
    <w:rsid w:val="00207588"/>
    <w:rsid w:val="00210105"/>
    <w:rsid w:val="00210277"/>
    <w:rsid w:val="00211DED"/>
    <w:rsid w:val="00212F70"/>
    <w:rsid w:val="002132C3"/>
    <w:rsid w:val="00213C0A"/>
    <w:rsid w:val="00213D86"/>
    <w:rsid w:val="002147AE"/>
    <w:rsid w:val="00214A08"/>
    <w:rsid w:val="002157C0"/>
    <w:rsid w:val="00216482"/>
    <w:rsid w:val="00217C02"/>
    <w:rsid w:val="0022062B"/>
    <w:rsid w:val="0022084E"/>
    <w:rsid w:val="00221657"/>
    <w:rsid w:val="0022307F"/>
    <w:rsid w:val="00223700"/>
    <w:rsid w:val="00223C97"/>
    <w:rsid w:val="00223F20"/>
    <w:rsid w:val="00225139"/>
    <w:rsid w:val="002310B6"/>
    <w:rsid w:val="002312FE"/>
    <w:rsid w:val="00232280"/>
    <w:rsid w:val="00232359"/>
    <w:rsid w:val="002329DB"/>
    <w:rsid w:val="00233321"/>
    <w:rsid w:val="002341C3"/>
    <w:rsid w:val="0023484E"/>
    <w:rsid w:val="00235A34"/>
    <w:rsid w:val="00235F30"/>
    <w:rsid w:val="00237AF9"/>
    <w:rsid w:val="00237BA7"/>
    <w:rsid w:val="00240876"/>
    <w:rsid w:val="0024135B"/>
    <w:rsid w:val="0024193D"/>
    <w:rsid w:val="00241D33"/>
    <w:rsid w:val="00241D74"/>
    <w:rsid w:val="00243236"/>
    <w:rsid w:val="00243B12"/>
    <w:rsid w:val="00244C00"/>
    <w:rsid w:val="00245258"/>
    <w:rsid w:val="00245F28"/>
    <w:rsid w:val="00246A5B"/>
    <w:rsid w:val="00247685"/>
    <w:rsid w:val="00250722"/>
    <w:rsid w:val="00250FF3"/>
    <w:rsid w:val="0025117A"/>
    <w:rsid w:val="00251552"/>
    <w:rsid w:val="00251938"/>
    <w:rsid w:val="00252B07"/>
    <w:rsid w:val="00252FE5"/>
    <w:rsid w:val="0025393B"/>
    <w:rsid w:val="00253B02"/>
    <w:rsid w:val="00254F91"/>
    <w:rsid w:val="00256011"/>
    <w:rsid w:val="00256DA0"/>
    <w:rsid w:val="00257C82"/>
    <w:rsid w:val="00257F00"/>
    <w:rsid w:val="00261564"/>
    <w:rsid w:val="00261EEF"/>
    <w:rsid w:val="002621A7"/>
    <w:rsid w:val="00262AC7"/>
    <w:rsid w:val="00262B5A"/>
    <w:rsid w:val="002632A9"/>
    <w:rsid w:val="002637A1"/>
    <w:rsid w:val="00263B50"/>
    <w:rsid w:val="00264097"/>
    <w:rsid w:val="0026439E"/>
    <w:rsid w:val="00265A8A"/>
    <w:rsid w:val="00266B69"/>
    <w:rsid w:val="00267203"/>
    <w:rsid w:val="00267C3A"/>
    <w:rsid w:val="00267CF5"/>
    <w:rsid w:val="002701B7"/>
    <w:rsid w:val="00270775"/>
    <w:rsid w:val="00270D4B"/>
    <w:rsid w:val="002724FE"/>
    <w:rsid w:val="00272B02"/>
    <w:rsid w:val="00272D3F"/>
    <w:rsid w:val="00274041"/>
    <w:rsid w:val="002740FD"/>
    <w:rsid w:val="00274B02"/>
    <w:rsid w:val="00275605"/>
    <w:rsid w:val="00275A17"/>
    <w:rsid w:val="00275B6D"/>
    <w:rsid w:val="00276D26"/>
    <w:rsid w:val="002771FD"/>
    <w:rsid w:val="002772A7"/>
    <w:rsid w:val="00280955"/>
    <w:rsid w:val="00280B4F"/>
    <w:rsid w:val="00280D7F"/>
    <w:rsid w:val="002811C8"/>
    <w:rsid w:val="00281D71"/>
    <w:rsid w:val="00281E3C"/>
    <w:rsid w:val="002842E1"/>
    <w:rsid w:val="002847AF"/>
    <w:rsid w:val="00284E6C"/>
    <w:rsid w:val="00285492"/>
    <w:rsid w:val="00286288"/>
    <w:rsid w:val="00286EF3"/>
    <w:rsid w:val="0029037A"/>
    <w:rsid w:val="00290984"/>
    <w:rsid w:val="00290AB7"/>
    <w:rsid w:val="00290F4A"/>
    <w:rsid w:val="00291455"/>
    <w:rsid w:val="00291BE0"/>
    <w:rsid w:val="00293C36"/>
    <w:rsid w:val="002941B3"/>
    <w:rsid w:val="00294B42"/>
    <w:rsid w:val="00294EEB"/>
    <w:rsid w:val="00294F5D"/>
    <w:rsid w:val="00295424"/>
    <w:rsid w:val="0029564F"/>
    <w:rsid w:val="00295A3C"/>
    <w:rsid w:val="00296203"/>
    <w:rsid w:val="00297A2B"/>
    <w:rsid w:val="002A05CA"/>
    <w:rsid w:val="002A1A61"/>
    <w:rsid w:val="002A4152"/>
    <w:rsid w:val="002A71A6"/>
    <w:rsid w:val="002A7A93"/>
    <w:rsid w:val="002A7FDE"/>
    <w:rsid w:val="002B0189"/>
    <w:rsid w:val="002B3246"/>
    <w:rsid w:val="002B394F"/>
    <w:rsid w:val="002B43B9"/>
    <w:rsid w:val="002B4BA9"/>
    <w:rsid w:val="002B4E84"/>
    <w:rsid w:val="002B5405"/>
    <w:rsid w:val="002B5FB3"/>
    <w:rsid w:val="002B612A"/>
    <w:rsid w:val="002B630E"/>
    <w:rsid w:val="002B64A4"/>
    <w:rsid w:val="002B7374"/>
    <w:rsid w:val="002C0784"/>
    <w:rsid w:val="002C0C6C"/>
    <w:rsid w:val="002C0D3F"/>
    <w:rsid w:val="002C17EF"/>
    <w:rsid w:val="002C2789"/>
    <w:rsid w:val="002C37B1"/>
    <w:rsid w:val="002C46C3"/>
    <w:rsid w:val="002C6359"/>
    <w:rsid w:val="002C68C5"/>
    <w:rsid w:val="002C75E7"/>
    <w:rsid w:val="002D0FC1"/>
    <w:rsid w:val="002D232B"/>
    <w:rsid w:val="002D2E6B"/>
    <w:rsid w:val="002D395C"/>
    <w:rsid w:val="002D3CFB"/>
    <w:rsid w:val="002D50E6"/>
    <w:rsid w:val="002D5B58"/>
    <w:rsid w:val="002D5E28"/>
    <w:rsid w:val="002D73B1"/>
    <w:rsid w:val="002D7B73"/>
    <w:rsid w:val="002E000B"/>
    <w:rsid w:val="002E1969"/>
    <w:rsid w:val="002E1A10"/>
    <w:rsid w:val="002E2BF4"/>
    <w:rsid w:val="002E3028"/>
    <w:rsid w:val="002E3CA9"/>
    <w:rsid w:val="002E48B0"/>
    <w:rsid w:val="002E557C"/>
    <w:rsid w:val="002E611C"/>
    <w:rsid w:val="002E6C08"/>
    <w:rsid w:val="002F08E1"/>
    <w:rsid w:val="002F0E2E"/>
    <w:rsid w:val="002F0E7D"/>
    <w:rsid w:val="002F1970"/>
    <w:rsid w:val="002F3363"/>
    <w:rsid w:val="002F3983"/>
    <w:rsid w:val="002F441B"/>
    <w:rsid w:val="002F5D6E"/>
    <w:rsid w:val="002F5D8F"/>
    <w:rsid w:val="002F6398"/>
    <w:rsid w:val="002F6AB9"/>
    <w:rsid w:val="002F6B24"/>
    <w:rsid w:val="00300282"/>
    <w:rsid w:val="00300372"/>
    <w:rsid w:val="003010D8"/>
    <w:rsid w:val="003012AB"/>
    <w:rsid w:val="0030152A"/>
    <w:rsid w:val="0030167C"/>
    <w:rsid w:val="00301732"/>
    <w:rsid w:val="00301DDB"/>
    <w:rsid w:val="00301F01"/>
    <w:rsid w:val="003028F5"/>
    <w:rsid w:val="00302F9B"/>
    <w:rsid w:val="0030305C"/>
    <w:rsid w:val="00303F35"/>
    <w:rsid w:val="003042BF"/>
    <w:rsid w:val="003043BF"/>
    <w:rsid w:val="00304A0B"/>
    <w:rsid w:val="00304D86"/>
    <w:rsid w:val="00306DA9"/>
    <w:rsid w:val="00306E1B"/>
    <w:rsid w:val="0030705E"/>
    <w:rsid w:val="0031076D"/>
    <w:rsid w:val="0031136C"/>
    <w:rsid w:val="003115CF"/>
    <w:rsid w:val="00312952"/>
    <w:rsid w:val="00314608"/>
    <w:rsid w:val="003152C1"/>
    <w:rsid w:val="00315557"/>
    <w:rsid w:val="00315F42"/>
    <w:rsid w:val="00316A98"/>
    <w:rsid w:val="003172C3"/>
    <w:rsid w:val="00320C43"/>
    <w:rsid w:val="00321590"/>
    <w:rsid w:val="00323F6C"/>
    <w:rsid w:val="003253D7"/>
    <w:rsid w:val="00326A21"/>
    <w:rsid w:val="0032757D"/>
    <w:rsid w:val="00327608"/>
    <w:rsid w:val="00332167"/>
    <w:rsid w:val="00332740"/>
    <w:rsid w:val="00333521"/>
    <w:rsid w:val="00334350"/>
    <w:rsid w:val="00334CF1"/>
    <w:rsid w:val="003356EA"/>
    <w:rsid w:val="003360C9"/>
    <w:rsid w:val="00340414"/>
    <w:rsid w:val="003413C4"/>
    <w:rsid w:val="00342676"/>
    <w:rsid w:val="003426A0"/>
    <w:rsid w:val="00342BB3"/>
    <w:rsid w:val="003434F2"/>
    <w:rsid w:val="00343587"/>
    <w:rsid w:val="00343B91"/>
    <w:rsid w:val="00344168"/>
    <w:rsid w:val="003445D4"/>
    <w:rsid w:val="00344B7B"/>
    <w:rsid w:val="00344F9C"/>
    <w:rsid w:val="0034714A"/>
    <w:rsid w:val="00347688"/>
    <w:rsid w:val="00347C76"/>
    <w:rsid w:val="00350EA9"/>
    <w:rsid w:val="003513E5"/>
    <w:rsid w:val="00351B36"/>
    <w:rsid w:val="00352737"/>
    <w:rsid w:val="00352A2A"/>
    <w:rsid w:val="003534FB"/>
    <w:rsid w:val="003536AE"/>
    <w:rsid w:val="00353FD3"/>
    <w:rsid w:val="00354A59"/>
    <w:rsid w:val="00354D83"/>
    <w:rsid w:val="0035547C"/>
    <w:rsid w:val="00355EC7"/>
    <w:rsid w:val="00357975"/>
    <w:rsid w:val="0036056E"/>
    <w:rsid w:val="00360AA7"/>
    <w:rsid w:val="00360B38"/>
    <w:rsid w:val="003612D2"/>
    <w:rsid w:val="00363167"/>
    <w:rsid w:val="003638D6"/>
    <w:rsid w:val="00363BD7"/>
    <w:rsid w:val="00364242"/>
    <w:rsid w:val="00364985"/>
    <w:rsid w:val="00365241"/>
    <w:rsid w:val="0036567E"/>
    <w:rsid w:val="0036635A"/>
    <w:rsid w:val="00367ADA"/>
    <w:rsid w:val="00367B63"/>
    <w:rsid w:val="00371952"/>
    <w:rsid w:val="0037234F"/>
    <w:rsid w:val="003723D2"/>
    <w:rsid w:val="0037247C"/>
    <w:rsid w:val="00372537"/>
    <w:rsid w:val="00372889"/>
    <w:rsid w:val="00372BEB"/>
    <w:rsid w:val="00372FAD"/>
    <w:rsid w:val="0037399B"/>
    <w:rsid w:val="00373A60"/>
    <w:rsid w:val="00374BBB"/>
    <w:rsid w:val="00375445"/>
    <w:rsid w:val="00375B6D"/>
    <w:rsid w:val="00376534"/>
    <w:rsid w:val="00380BCB"/>
    <w:rsid w:val="00381B12"/>
    <w:rsid w:val="003821A2"/>
    <w:rsid w:val="003822C5"/>
    <w:rsid w:val="003824A3"/>
    <w:rsid w:val="0038259C"/>
    <w:rsid w:val="003829FC"/>
    <w:rsid w:val="003834DB"/>
    <w:rsid w:val="00383E0B"/>
    <w:rsid w:val="00383F55"/>
    <w:rsid w:val="00384376"/>
    <w:rsid w:val="00384B1E"/>
    <w:rsid w:val="00384E53"/>
    <w:rsid w:val="003854E8"/>
    <w:rsid w:val="0038561A"/>
    <w:rsid w:val="00385919"/>
    <w:rsid w:val="00385C6A"/>
    <w:rsid w:val="003867D0"/>
    <w:rsid w:val="0038722D"/>
    <w:rsid w:val="00390BE5"/>
    <w:rsid w:val="00390BF5"/>
    <w:rsid w:val="00393E57"/>
    <w:rsid w:val="00393F0C"/>
    <w:rsid w:val="00394E73"/>
    <w:rsid w:val="0039504B"/>
    <w:rsid w:val="0039572C"/>
    <w:rsid w:val="003964CF"/>
    <w:rsid w:val="00396747"/>
    <w:rsid w:val="00396BCF"/>
    <w:rsid w:val="00397B01"/>
    <w:rsid w:val="003A1C35"/>
    <w:rsid w:val="003A1C53"/>
    <w:rsid w:val="003A2586"/>
    <w:rsid w:val="003A2ED9"/>
    <w:rsid w:val="003A47E3"/>
    <w:rsid w:val="003A55C0"/>
    <w:rsid w:val="003A5859"/>
    <w:rsid w:val="003A6807"/>
    <w:rsid w:val="003A6977"/>
    <w:rsid w:val="003A6CF3"/>
    <w:rsid w:val="003A6DEB"/>
    <w:rsid w:val="003A6EAA"/>
    <w:rsid w:val="003A74E1"/>
    <w:rsid w:val="003A762F"/>
    <w:rsid w:val="003B01D7"/>
    <w:rsid w:val="003B0552"/>
    <w:rsid w:val="003B0AD4"/>
    <w:rsid w:val="003B1CAD"/>
    <w:rsid w:val="003B226C"/>
    <w:rsid w:val="003B2538"/>
    <w:rsid w:val="003B2ABA"/>
    <w:rsid w:val="003B3211"/>
    <w:rsid w:val="003B3416"/>
    <w:rsid w:val="003B3C99"/>
    <w:rsid w:val="003B46AF"/>
    <w:rsid w:val="003B6AB5"/>
    <w:rsid w:val="003B7961"/>
    <w:rsid w:val="003B7BD0"/>
    <w:rsid w:val="003C0D73"/>
    <w:rsid w:val="003C16BB"/>
    <w:rsid w:val="003C1882"/>
    <w:rsid w:val="003C1E12"/>
    <w:rsid w:val="003C2431"/>
    <w:rsid w:val="003C2F6E"/>
    <w:rsid w:val="003C5302"/>
    <w:rsid w:val="003C5421"/>
    <w:rsid w:val="003C7AED"/>
    <w:rsid w:val="003D0617"/>
    <w:rsid w:val="003D0756"/>
    <w:rsid w:val="003D09FA"/>
    <w:rsid w:val="003D1229"/>
    <w:rsid w:val="003D1F48"/>
    <w:rsid w:val="003D347B"/>
    <w:rsid w:val="003D3A71"/>
    <w:rsid w:val="003D3F32"/>
    <w:rsid w:val="003D416C"/>
    <w:rsid w:val="003D450D"/>
    <w:rsid w:val="003D47DF"/>
    <w:rsid w:val="003D5D38"/>
    <w:rsid w:val="003D6137"/>
    <w:rsid w:val="003D6D50"/>
    <w:rsid w:val="003D72E3"/>
    <w:rsid w:val="003D759C"/>
    <w:rsid w:val="003D76DF"/>
    <w:rsid w:val="003D7790"/>
    <w:rsid w:val="003D77D2"/>
    <w:rsid w:val="003D7A35"/>
    <w:rsid w:val="003E1FE2"/>
    <w:rsid w:val="003E20B3"/>
    <w:rsid w:val="003E4170"/>
    <w:rsid w:val="003E691D"/>
    <w:rsid w:val="003E6D19"/>
    <w:rsid w:val="003E74A8"/>
    <w:rsid w:val="003F0417"/>
    <w:rsid w:val="003F0E95"/>
    <w:rsid w:val="003F0F61"/>
    <w:rsid w:val="003F1006"/>
    <w:rsid w:val="003F1009"/>
    <w:rsid w:val="003F13CC"/>
    <w:rsid w:val="003F23A1"/>
    <w:rsid w:val="003F2B5F"/>
    <w:rsid w:val="003F3BE9"/>
    <w:rsid w:val="003F46EA"/>
    <w:rsid w:val="003F47D5"/>
    <w:rsid w:val="003F4D28"/>
    <w:rsid w:val="003F5319"/>
    <w:rsid w:val="003F58A2"/>
    <w:rsid w:val="003F6129"/>
    <w:rsid w:val="003F7A86"/>
    <w:rsid w:val="004003DC"/>
    <w:rsid w:val="00401D32"/>
    <w:rsid w:val="00402CB6"/>
    <w:rsid w:val="00402EE6"/>
    <w:rsid w:val="00402F16"/>
    <w:rsid w:val="00403A83"/>
    <w:rsid w:val="00403CA3"/>
    <w:rsid w:val="00405050"/>
    <w:rsid w:val="0040577E"/>
    <w:rsid w:val="004061D2"/>
    <w:rsid w:val="00407A3E"/>
    <w:rsid w:val="004109BA"/>
    <w:rsid w:val="00410AC0"/>
    <w:rsid w:val="00411B0D"/>
    <w:rsid w:val="004120A0"/>
    <w:rsid w:val="00412474"/>
    <w:rsid w:val="00412693"/>
    <w:rsid w:val="00412B74"/>
    <w:rsid w:val="00412C97"/>
    <w:rsid w:val="00412DD7"/>
    <w:rsid w:val="00412F5D"/>
    <w:rsid w:val="004144C9"/>
    <w:rsid w:val="00414CBE"/>
    <w:rsid w:val="00415283"/>
    <w:rsid w:val="00415349"/>
    <w:rsid w:val="00415D8B"/>
    <w:rsid w:val="00416410"/>
    <w:rsid w:val="00416456"/>
    <w:rsid w:val="0041676F"/>
    <w:rsid w:val="00416FE2"/>
    <w:rsid w:val="0041720F"/>
    <w:rsid w:val="0041796C"/>
    <w:rsid w:val="0042026C"/>
    <w:rsid w:val="004211F6"/>
    <w:rsid w:val="00421525"/>
    <w:rsid w:val="00421553"/>
    <w:rsid w:val="0042212C"/>
    <w:rsid w:val="00422206"/>
    <w:rsid w:val="004222E8"/>
    <w:rsid w:val="0042341B"/>
    <w:rsid w:val="004240DB"/>
    <w:rsid w:val="004249CF"/>
    <w:rsid w:val="00424D34"/>
    <w:rsid w:val="00425286"/>
    <w:rsid w:val="00430EA3"/>
    <w:rsid w:val="00432601"/>
    <w:rsid w:val="004328E2"/>
    <w:rsid w:val="00432DF4"/>
    <w:rsid w:val="00432F58"/>
    <w:rsid w:val="00435885"/>
    <w:rsid w:val="004362BA"/>
    <w:rsid w:val="0043656F"/>
    <w:rsid w:val="004366E2"/>
    <w:rsid w:val="00436803"/>
    <w:rsid w:val="00436CF8"/>
    <w:rsid w:val="00436FF7"/>
    <w:rsid w:val="0043738F"/>
    <w:rsid w:val="00437EC0"/>
    <w:rsid w:val="004408E8"/>
    <w:rsid w:val="0044193B"/>
    <w:rsid w:val="00441CA4"/>
    <w:rsid w:val="004422C8"/>
    <w:rsid w:val="00443381"/>
    <w:rsid w:val="00443427"/>
    <w:rsid w:val="00443548"/>
    <w:rsid w:val="004454DB"/>
    <w:rsid w:val="004456C5"/>
    <w:rsid w:val="00446065"/>
    <w:rsid w:val="0045085C"/>
    <w:rsid w:val="00450A0C"/>
    <w:rsid w:val="00450A18"/>
    <w:rsid w:val="00450A3D"/>
    <w:rsid w:val="00450BC3"/>
    <w:rsid w:val="00451AA6"/>
    <w:rsid w:val="00451BA4"/>
    <w:rsid w:val="00452EF5"/>
    <w:rsid w:val="00454EF9"/>
    <w:rsid w:val="0045536C"/>
    <w:rsid w:val="00456310"/>
    <w:rsid w:val="00456A00"/>
    <w:rsid w:val="00457047"/>
    <w:rsid w:val="0045751B"/>
    <w:rsid w:val="004577BB"/>
    <w:rsid w:val="00457A07"/>
    <w:rsid w:val="00457C78"/>
    <w:rsid w:val="00461790"/>
    <w:rsid w:val="00462068"/>
    <w:rsid w:val="00462DBA"/>
    <w:rsid w:val="00463200"/>
    <w:rsid w:val="004645CB"/>
    <w:rsid w:val="00464A1B"/>
    <w:rsid w:val="00465562"/>
    <w:rsid w:val="00465829"/>
    <w:rsid w:val="00466809"/>
    <w:rsid w:val="00466AA4"/>
    <w:rsid w:val="00466DFB"/>
    <w:rsid w:val="004678CF"/>
    <w:rsid w:val="00470D0A"/>
    <w:rsid w:val="0047152B"/>
    <w:rsid w:val="00472A7C"/>
    <w:rsid w:val="00473C69"/>
    <w:rsid w:val="00473EB2"/>
    <w:rsid w:val="004745CB"/>
    <w:rsid w:val="00475C7D"/>
    <w:rsid w:val="0047616F"/>
    <w:rsid w:val="00476607"/>
    <w:rsid w:val="004766E7"/>
    <w:rsid w:val="00477D97"/>
    <w:rsid w:val="00480B59"/>
    <w:rsid w:val="00481469"/>
    <w:rsid w:val="004817C2"/>
    <w:rsid w:val="00483952"/>
    <w:rsid w:val="00484D9B"/>
    <w:rsid w:val="00484F02"/>
    <w:rsid w:val="004854B9"/>
    <w:rsid w:val="004854FD"/>
    <w:rsid w:val="0048551A"/>
    <w:rsid w:val="00486765"/>
    <w:rsid w:val="00486E7A"/>
    <w:rsid w:val="00487611"/>
    <w:rsid w:val="00487741"/>
    <w:rsid w:val="00491185"/>
    <w:rsid w:val="0049132A"/>
    <w:rsid w:val="00491AA9"/>
    <w:rsid w:val="00491BAA"/>
    <w:rsid w:val="00491CF4"/>
    <w:rsid w:val="00491F7E"/>
    <w:rsid w:val="004927F2"/>
    <w:rsid w:val="00493125"/>
    <w:rsid w:val="00494E5F"/>
    <w:rsid w:val="004967D0"/>
    <w:rsid w:val="00497B17"/>
    <w:rsid w:val="00497EBB"/>
    <w:rsid w:val="00497F23"/>
    <w:rsid w:val="00497F3A"/>
    <w:rsid w:val="004A0165"/>
    <w:rsid w:val="004A0C50"/>
    <w:rsid w:val="004A104E"/>
    <w:rsid w:val="004A1AFC"/>
    <w:rsid w:val="004A1C82"/>
    <w:rsid w:val="004A30B2"/>
    <w:rsid w:val="004A433B"/>
    <w:rsid w:val="004A47D6"/>
    <w:rsid w:val="004A4A29"/>
    <w:rsid w:val="004A4A56"/>
    <w:rsid w:val="004A4CB2"/>
    <w:rsid w:val="004A5421"/>
    <w:rsid w:val="004A5B36"/>
    <w:rsid w:val="004A75E0"/>
    <w:rsid w:val="004B08E4"/>
    <w:rsid w:val="004B15C6"/>
    <w:rsid w:val="004B1638"/>
    <w:rsid w:val="004B219D"/>
    <w:rsid w:val="004B2B8D"/>
    <w:rsid w:val="004B3184"/>
    <w:rsid w:val="004B358D"/>
    <w:rsid w:val="004B4211"/>
    <w:rsid w:val="004B4A5D"/>
    <w:rsid w:val="004B5FB6"/>
    <w:rsid w:val="004B7A3D"/>
    <w:rsid w:val="004C06A7"/>
    <w:rsid w:val="004C07BB"/>
    <w:rsid w:val="004C0A3E"/>
    <w:rsid w:val="004C164D"/>
    <w:rsid w:val="004C2834"/>
    <w:rsid w:val="004C357E"/>
    <w:rsid w:val="004C567E"/>
    <w:rsid w:val="004C6266"/>
    <w:rsid w:val="004C6814"/>
    <w:rsid w:val="004C6E2F"/>
    <w:rsid w:val="004C72CA"/>
    <w:rsid w:val="004C733D"/>
    <w:rsid w:val="004D09C5"/>
    <w:rsid w:val="004D0B71"/>
    <w:rsid w:val="004D2D73"/>
    <w:rsid w:val="004D300B"/>
    <w:rsid w:val="004D35BD"/>
    <w:rsid w:val="004D3D2E"/>
    <w:rsid w:val="004D3D3C"/>
    <w:rsid w:val="004D5D88"/>
    <w:rsid w:val="004D61E5"/>
    <w:rsid w:val="004D6E4E"/>
    <w:rsid w:val="004D7994"/>
    <w:rsid w:val="004E14B5"/>
    <w:rsid w:val="004E17F9"/>
    <w:rsid w:val="004E1D69"/>
    <w:rsid w:val="004E20DE"/>
    <w:rsid w:val="004E2A59"/>
    <w:rsid w:val="004E3813"/>
    <w:rsid w:val="004E3C96"/>
    <w:rsid w:val="004E4E1F"/>
    <w:rsid w:val="004E5FA7"/>
    <w:rsid w:val="004F0834"/>
    <w:rsid w:val="004F1E22"/>
    <w:rsid w:val="004F319D"/>
    <w:rsid w:val="004F3706"/>
    <w:rsid w:val="004F3862"/>
    <w:rsid w:val="004F3A4C"/>
    <w:rsid w:val="004F4A11"/>
    <w:rsid w:val="004F5353"/>
    <w:rsid w:val="004F5FE4"/>
    <w:rsid w:val="004F710A"/>
    <w:rsid w:val="004F7703"/>
    <w:rsid w:val="00500098"/>
    <w:rsid w:val="00500348"/>
    <w:rsid w:val="005004A3"/>
    <w:rsid w:val="00500681"/>
    <w:rsid w:val="00500B8B"/>
    <w:rsid w:val="00500D7F"/>
    <w:rsid w:val="005020D8"/>
    <w:rsid w:val="00502650"/>
    <w:rsid w:val="00503EF5"/>
    <w:rsid w:val="00504009"/>
    <w:rsid w:val="0050662E"/>
    <w:rsid w:val="00506D18"/>
    <w:rsid w:val="00507406"/>
    <w:rsid w:val="005103FC"/>
    <w:rsid w:val="0051099F"/>
    <w:rsid w:val="00510D2E"/>
    <w:rsid w:val="005110FF"/>
    <w:rsid w:val="00511AC4"/>
    <w:rsid w:val="00512AF0"/>
    <w:rsid w:val="00512B4F"/>
    <w:rsid w:val="00512CA7"/>
    <w:rsid w:val="005136ED"/>
    <w:rsid w:val="00513962"/>
    <w:rsid w:val="00513FA8"/>
    <w:rsid w:val="0051421F"/>
    <w:rsid w:val="00514A73"/>
    <w:rsid w:val="00515336"/>
    <w:rsid w:val="00515A36"/>
    <w:rsid w:val="00515F14"/>
    <w:rsid w:val="00516A63"/>
    <w:rsid w:val="00517503"/>
    <w:rsid w:val="00517697"/>
    <w:rsid w:val="00517AB9"/>
    <w:rsid w:val="00517AC8"/>
    <w:rsid w:val="00517B14"/>
    <w:rsid w:val="00517D7E"/>
    <w:rsid w:val="00521562"/>
    <w:rsid w:val="00522635"/>
    <w:rsid w:val="00522AB6"/>
    <w:rsid w:val="0052353C"/>
    <w:rsid w:val="00523A31"/>
    <w:rsid w:val="0052591E"/>
    <w:rsid w:val="005269E5"/>
    <w:rsid w:val="00530588"/>
    <w:rsid w:val="0053125E"/>
    <w:rsid w:val="0053173B"/>
    <w:rsid w:val="005326D7"/>
    <w:rsid w:val="00532A4A"/>
    <w:rsid w:val="005330FB"/>
    <w:rsid w:val="005343CA"/>
    <w:rsid w:val="00534FF3"/>
    <w:rsid w:val="00535362"/>
    <w:rsid w:val="0053556D"/>
    <w:rsid w:val="0053673F"/>
    <w:rsid w:val="00537C15"/>
    <w:rsid w:val="005400DD"/>
    <w:rsid w:val="005412E1"/>
    <w:rsid w:val="00541345"/>
    <w:rsid w:val="00541419"/>
    <w:rsid w:val="00541D0C"/>
    <w:rsid w:val="00541F66"/>
    <w:rsid w:val="00542093"/>
    <w:rsid w:val="005427D8"/>
    <w:rsid w:val="00542D72"/>
    <w:rsid w:val="00543260"/>
    <w:rsid w:val="00544671"/>
    <w:rsid w:val="00544BB7"/>
    <w:rsid w:val="00546F14"/>
    <w:rsid w:val="005470F9"/>
    <w:rsid w:val="00550923"/>
    <w:rsid w:val="00553A3D"/>
    <w:rsid w:val="00553F0E"/>
    <w:rsid w:val="00554B3A"/>
    <w:rsid w:val="00555770"/>
    <w:rsid w:val="00555884"/>
    <w:rsid w:val="005567BD"/>
    <w:rsid w:val="005568C9"/>
    <w:rsid w:val="00560216"/>
    <w:rsid w:val="00561A7E"/>
    <w:rsid w:val="00562279"/>
    <w:rsid w:val="0056257A"/>
    <w:rsid w:val="0056377B"/>
    <w:rsid w:val="00563798"/>
    <w:rsid w:val="00563821"/>
    <w:rsid w:val="005639F2"/>
    <w:rsid w:val="00563F9A"/>
    <w:rsid w:val="005640A4"/>
    <w:rsid w:val="00570097"/>
    <w:rsid w:val="005708C7"/>
    <w:rsid w:val="00576B41"/>
    <w:rsid w:val="00576B56"/>
    <w:rsid w:val="005771D1"/>
    <w:rsid w:val="00577672"/>
    <w:rsid w:val="00577A8A"/>
    <w:rsid w:val="00577E52"/>
    <w:rsid w:val="00577EA0"/>
    <w:rsid w:val="00580091"/>
    <w:rsid w:val="0058214F"/>
    <w:rsid w:val="00582164"/>
    <w:rsid w:val="00582527"/>
    <w:rsid w:val="00582C17"/>
    <w:rsid w:val="00582D31"/>
    <w:rsid w:val="0058349F"/>
    <w:rsid w:val="005838DD"/>
    <w:rsid w:val="005843C4"/>
    <w:rsid w:val="00584D9F"/>
    <w:rsid w:val="00586223"/>
    <w:rsid w:val="0058687E"/>
    <w:rsid w:val="00586E7A"/>
    <w:rsid w:val="00587050"/>
    <w:rsid w:val="00587860"/>
    <w:rsid w:val="005900AB"/>
    <w:rsid w:val="005902A8"/>
    <w:rsid w:val="00591834"/>
    <w:rsid w:val="00591C14"/>
    <w:rsid w:val="00591F0E"/>
    <w:rsid w:val="00592821"/>
    <w:rsid w:val="00592D4F"/>
    <w:rsid w:val="0059323B"/>
    <w:rsid w:val="005943F7"/>
    <w:rsid w:val="0059568E"/>
    <w:rsid w:val="005964A2"/>
    <w:rsid w:val="005976B1"/>
    <w:rsid w:val="00597F9F"/>
    <w:rsid w:val="005A06BA"/>
    <w:rsid w:val="005A0799"/>
    <w:rsid w:val="005A0AB8"/>
    <w:rsid w:val="005A1FE1"/>
    <w:rsid w:val="005A2EA0"/>
    <w:rsid w:val="005A3747"/>
    <w:rsid w:val="005A3A0F"/>
    <w:rsid w:val="005A3B7E"/>
    <w:rsid w:val="005A463A"/>
    <w:rsid w:val="005B04FF"/>
    <w:rsid w:val="005B0506"/>
    <w:rsid w:val="005B077F"/>
    <w:rsid w:val="005B0AAC"/>
    <w:rsid w:val="005B17CC"/>
    <w:rsid w:val="005B1B77"/>
    <w:rsid w:val="005B1BB8"/>
    <w:rsid w:val="005B2606"/>
    <w:rsid w:val="005B33BB"/>
    <w:rsid w:val="005B38FF"/>
    <w:rsid w:val="005B3B89"/>
    <w:rsid w:val="005B403B"/>
    <w:rsid w:val="005B40CF"/>
    <w:rsid w:val="005B4137"/>
    <w:rsid w:val="005B4A6B"/>
    <w:rsid w:val="005B56B2"/>
    <w:rsid w:val="005B5A94"/>
    <w:rsid w:val="005B5F72"/>
    <w:rsid w:val="005B699B"/>
    <w:rsid w:val="005C005D"/>
    <w:rsid w:val="005C0817"/>
    <w:rsid w:val="005C230C"/>
    <w:rsid w:val="005C2451"/>
    <w:rsid w:val="005C2A2E"/>
    <w:rsid w:val="005C2BE6"/>
    <w:rsid w:val="005C2F91"/>
    <w:rsid w:val="005C353A"/>
    <w:rsid w:val="005C370C"/>
    <w:rsid w:val="005C3AE8"/>
    <w:rsid w:val="005C68CB"/>
    <w:rsid w:val="005D05A2"/>
    <w:rsid w:val="005D1FB9"/>
    <w:rsid w:val="005D383A"/>
    <w:rsid w:val="005D3C5C"/>
    <w:rsid w:val="005D5DA2"/>
    <w:rsid w:val="005D62DF"/>
    <w:rsid w:val="005D7825"/>
    <w:rsid w:val="005E1296"/>
    <w:rsid w:val="005E165C"/>
    <w:rsid w:val="005E1AD1"/>
    <w:rsid w:val="005E1DF2"/>
    <w:rsid w:val="005E2156"/>
    <w:rsid w:val="005E259D"/>
    <w:rsid w:val="005E2C8A"/>
    <w:rsid w:val="005E2DEA"/>
    <w:rsid w:val="005E4986"/>
    <w:rsid w:val="005E5365"/>
    <w:rsid w:val="005E6A99"/>
    <w:rsid w:val="005E6D97"/>
    <w:rsid w:val="005E7D9B"/>
    <w:rsid w:val="005F02EF"/>
    <w:rsid w:val="005F1904"/>
    <w:rsid w:val="005F2A8E"/>
    <w:rsid w:val="005F35F6"/>
    <w:rsid w:val="005F4524"/>
    <w:rsid w:val="005F4981"/>
    <w:rsid w:val="005F522D"/>
    <w:rsid w:val="005F60DA"/>
    <w:rsid w:val="0060018D"/>
    <w:rsid w:val="0060085C"/>
    <w:rsid w:val="006012CB"/>
    <w:rsid w:val="0060134A"/>
    <w:rsid w:val="0060187D"/>
    <w:rsid w:val="00602193"/>
    <w:rsid w:val="006021DF"/>
    <w:rsid w:val="00602F15"/>
    <w:rsid w:val="006035AF"/>
    <w:rsid w:val="00603BFD"/>
    <w:rsid w:val="00604146"/>
    <w:rsid w:val="006046A9"/>
    <w:rsid w:val="00604771"/>
    <w:rsid w:val="006052DA"/>
    <w:rsid w:val="006054D5"/>
    <w:rsid w:val="006057BF"/>
    <w:rsid w:val="00605A74"/>
    <w:rsid w:val="006063B7"/>
    <w:rsid w:val="00606AB1"/>
    <w:rsid w:val="00607958"/>
    <w:rsid w:val="00607BC5"/>
    <w:rsid w:val="006100C6"/>
    <w:rsid w:val="00610331"/>
    <w:rsid w:val="0061033F"/>
    <w:rsid w:val="006107D2"/>
    <w:rsid w:val="00610A00"/>
    <w:rsid w:val="00611E73"/>
    <w:rsid w:val="0061276D"/>
    <w:rsid w:val="00614892"/>
    <w:rsid w:val="006167BF"/>
    <w:rsid w:val="006167CD"/>
    <w:rsid w:val="00617004"/>
    <w:rsid w:val="00617416"/>
    <w:rsid w:val="00620E3A"/>
    <w:rsid w:val="00621139"/>
    <w:rsid w:val="00622597"/>
    <w:rsid w:val="0062370B"/>
    <w:rsid w:val="00623775"/>
    <w:rsid w:val="006238F6"/>
    <w:rsid w:val="00624044"/>
    <w:rsid w:val="0062422D"/>
    <w:rsid w:val="006253A1"/>
    <w:rsid w:val="00626744"/>
    <w:rsid w:val="00627516"/>
    <w:rsid w:val="00630BA8"/>
    <w:rsid w:val="006315F8"/>
    <w:rsid w:val="00632F7B"/>
    <w:rsid w:val="00633CCA"/>
    <w:rsid w:val="006345C3"/>
    <w:rsid w:val="006349AF"/>
    <w:rsid w:val="00635035"/>
    <w:rsid w:val="0063514C"/>
    <w:rsid w:val="0063631D"/>
    <w:rsid w:val="00637E8A"/>
    <w:rsid w:val="00640313"/>
    <w:rsid w:val="006405D4"/>
    <w:rsid w:val="00640A30"/>
    <w:rsid w:val="00640C83"/>
    <w:rsid w:val="006410F8"/>
    <w:rsid w:val="00642383"/>
    <w:rsid w:val="00644229"/>
    <w:rsid w:val="006461F3"/>
    <w:rsid w:val="00646BBB"/>
    <w:rsid w:val="00647449"/>
    <w:rsid w:val="00650216"/>
    <w:rsid w:val="0065107A"/>
    <w:rsid w:val="00651A80"/>
    <w:rsid w:val="006540C2"/>
    <w:rsid w:val="006554A8"/>
    <w:rsid w:val="00656449"/>
    <w:rsid w:val="00656B91"/>
    <w:rsid w:val="006577CF"/>
    <w:rsid w:val="006601FF"/>
    <w:rsid w:val="0066103C"/>
    <w:rsid w:val="00661D52"/>
    <w:rsid w:val="00662350"/>
    <w:rsid w:val="00662C06"/>
    <w:rsid w:val="0066314D"/>
    <w:rsid w:val="0066472E"/>
    <w:rsid w:val="00664957"/>
    <w:rsid w:val="006656D2"/>
    <w:rsid w:val="00665712"/>
    <w:rsid w:val="006666FE"/>
    <w:rsid w:val="00666E43"/>
    <w:rsid w:val="00667EA6"/>
    <w:rsid w:val="00670956"/>
    <w:rsid w:val="00670F2E"/>
    <w:rsid w:val="00671E9B"/>
    <w:rsid w:val="006720A6"/>
    <w:rsid w:val="0067417C"/>
    <w:rsid w:val="00674197"/>
    <w:rsid w:val="00674E23"/>
    <w:rsid w:val="00675603"/>
    <w:rsid w:val="00680A4D"/>
    <w:rsid w:val="00682105"/>
    <w:rsid w:val="00682641"/>
    <w:rsid w:val="00684429"/>
    <w:rsid w:val="0068540C"/>
    <w:rsid w:val="00685BF6"/>
    <w:rsid w:val="0069097D"/>
    <w:rsid w:val="006911B2"/>
    <w:rsid w:val="00691337"/>
    <w:rsid w:val="006918AD"/>
    <w:rsid w:val="00691A80"/>
    <w:rsid w:val="006923B9"/>
    <w:rsid w:val="0069554F"/>
    <w:rsid w:val="00695657"/>
    <w:rsid w:val="006A0908"/>
    <w:rsid w:val="006A1877"/>
    <w:rsid w:val="006A192A"/>
    <w:rsid w:val="006A198D"/>
    <w:rsid w:val="006A1C05"/>
    <w:rsid w:val="006A2EE4"/>
    <w:rsid w:val="006A36E5"/>
    <w:rsid w:val="006A3BF5"/>
    <w:rsid w:val="006A4070"/>
    <w:rsid w:val="006A5AA4"/>
    <w:rsid w:val="006A619E"/>
    <w:rsid w:val="006A61E1"/>
    <w:rsid w:val="006B06B9"/>
    <w:rsid w:val="006B22A9"/>
    <w:rsid w:val="006B3DAF"/>
    <w:rsid w:val="006B4F03"/>
    <w:rsid w:val="006B5231"/>
    <w:rsid w:val="006B5553"/>
    <w:rsid w:val="006B5FAF"/>
    <w:rsid w:val="006C133A"/>
    <w:rsid w:val="006C1371"/>
    <w:rsid w:val="006C1627"/>
    <w:rsid w:val="006C20EE"/>
    <w:rsid w:val="006C28CC"/>
    <w:rsid w:val="006C2973"/>
    <w:rsid w:val="006C2B92"/>
    <w:rsid w:val="006C4746"/>
    <w:rsid w:val="006C5405"/>
    <w:rsid w:val="006C6318"/>
    <w:rsid w:val="006C6ED1"/>
    <w:rsid w:val="006C7089"/>
    <w:rsid w:val="006C75AC"/>
    <w:rsid w:val="006D01B0"/>
    <w:rsid w:val="006D0782"/>
    <w:rsid w:val="006D1280"/>
    <w:rsid w:val="006D153D"/>
    <w:rsid w:val="006D289E"/>
    <w:rsid w:val="006D3AB1"/>
    <w:rsid w:val="006D3EB9"/>
    <w:rsid w:val="006D4187"/>
    <w:rsid w:val="006D4664"/>
    <w:rsid w:val="006D4E09"/>
    <w:rsid w:val="006D4FC9"/>
    <w:rsid w:val="006D5952"/>
    <w:rsid w:val="006D611C"/>
    <w:rsid w:val="006E0B97"/>
    <w:rsid w:val="006E23C6"/>
    <w:rsid w:val="006E25B5"/>
    <w:rsid w:val="006E27E5"/>
    <w:rsid w:val="006E2C5D"/>
    <w:rsid w:val="006E300B"/>
    <w:rsid w:val="006E33C8"/>
    <w:rsid w:val="006E39FE"/>
    <w:rsid w:val="006E44BF"/>
    <w:rsid w:val="006E4BA7"/>
    <w:rsid w:val="006E58E9"/>
    <w:rsid w:val="006E6703"/>
    <w:rsid w:val="006E7D8A"/>
    <w:rsid w:val="006F091D"/>
    <w:rsid w:val="006F1E8F"/>
    <w:rsid w:val="006F290A"/>
    <w:rsid w:val="006F2EE1"/>
    <w:rsid w:val="006F37F1"/>
    <w:rsid w:val="006F4E9F"/>
    <w:rsid w:val="00700E10"/>
    <w:rsid w:val="007023A1"/>
    <w:rsid w:val="00702962"/>
    <w:rsid w:val="00702BCC"/>
    <w:rsid w:val="00703D09"/>
    <w:rsid w:val="00704000"/>
    <w:rsid w:val="007055DC"/>
    <w:rsid w:val="00707037"/>
    <w:rsid w:val="00710DC1"/>
    <w:rsid w:val="00711AED"/>
    <w:rsid w:val="00711CF4"/>
    <w:rsid w:val="007123A2"/>
    <w:rsid w:val="007123F0"/>
    <w:rsid w:val="00712A5C"/>
    <w:rsid w:val="00715536"/>
    <w:rsid w:val="0071597D"/>
    <w:rsid w:val="00715999"/>
    <w:rsid w:val="00715FAB"/>
    <w:rsid w:val="00716412"/>
    <w:rsid w:val="0072029E"/>
    <w:rsid w:val="0072115B"/>
    <w:rsid w:val="00721BCD"/>
    <w:rsid w:val="00722D05"/>
    <w:rsid w:val="00724559"/>
    <w:rsid w:val="00724B1D"/>
    <w:rsid w:val="0072569B"/>
    <w:rsid w:val="007259A7"/>
    <w:rsid w:val="00725E33"/>
    <w:rsid w:val="00725F5D"/>
    <w:rsid w:val="007277C9"/>
    <w:rsid w:val="00731568"/>
    <w:rsid w:val="007320D9"/>
    <w:rsid w:val="0073312B"/>
    <w:rsid w:val="00733EA5"/>
    <w:rsid w:val="007356F2"/>
    <w:rsid w:val="007369B8"/>
    <w:rsid w:val="00737ADB"/>
    <w:rsid w:val="00737FEF"/>
    <w:rsid w:val="007408FB"/>
    <w:rsid w:val="00741256"/>
    <w:rsid w:val="007417E4"/>
    <w:rsid w:val="00741966"/>
    <w:rsid w:val="00741E85"/>
    <w:rsid w:val="00743269"/>
    <w:rsid w:val="007439F4"/>
    <w:rsid w:val="00743A5B"/>
    <w:rsid w:val="00744D12"/>
    <w:rsid w:val="00745123"/>
    <w:rsid w:val="00745393"/>
    <w:rsid w:val="0074588F"/>
    <w:rsid w:val="00745B5E"/>
    <w:rsid w:val="00745C75"/>
    <w:rsid w:val="00746665"/>
    <w:rsid w:val="007471DD"/>
    <w:rsid w:val="00747209"/>
    <w:rsid w:val="00747A8C"/>
    <w:rsid w:val="00747AD1"/>
    <w:rsid w:val="00747B4D"/>
    <w:rsid w:val="00747D2B"/>
    <w:rsid w:val="0075024D"/>
    <w:rsid w:val="007502DB"/>
    <w:rsid w:val="00750326"/>
    <w:rsid w:val="007503C3"/>
    <w:rsid w:val="007507E3"/>
    <w:rsid w:val="00750E29"/>
    <w:rsid w:val="00751545"/>
    <w:rsid w:val="007517F8"/>
    <w:rsid w:val="00751B99"/>
    <w:rsid w:val="00754B24"/>
    <w:rsid w:val="007556AB"/>
    <w:rsid w:val="007565E0"/>
    <w:rsid w:val="00756BF4"/>
    <w:rsid w:val="00757044"/>
    <w:rsid w:val="00757755"/>
    <w:rsid w:val="0076177E"/>
    <w:rsid w:val="0076185B"/>
    <w:rsid w:val="00761A42"/>
    <w:rsid w:val="00761D8D"/>
    <w:rsid w:val="00761E18"/>
    <w:rsid w:val="00761EF7"/>
    <w:rsid w:val="007633CF"/>
    <w:rsid w:val="007633E8"/>
    <w:rsid w:val="007635FE"/>
    <w:rsid w:val="00763D0E"/>
    <w:rsid w:val="00764377"/>
    <w:rsid w:val="00766114"/>
    <w:rsid w:val="007670F4"/>
    <w:rsid w:val="00767205"/>
    <w:rsid w:val="0076745E"/>
    <w:rsid w:val="0077003B"/>
    <w:rsid w:val="007700BE"/>
    <w:rsid w:val="00770C9A"/>
    <w:rsid w:val="00770EF4"/>
    <w:rsid w:val="007727E3"/>
    <w:rsid w:val="00773063"/>
    <w:rsid w:val="0077344D"/>
    <w:rsid w:val="00774892"/>
    <w:rsid w:val="00774A27"/>
    <w:rsid w:val="00775B0B"/>
    <w:rsid w:val="0077644E"/>
    <w:rsid w:val="0077678D"/>
    <w:rsid w:val="00777BEF"/>
    <w:rsid w:val="00777E42"/>
    <w:rsid w:val="00783196"/>
    <w:rsid w:val="00783CC6"/>
    <w:rsid w:val="00784AD5"/>
    <w:rsid w:val="00784E36"/>
    <w:rsid w:val="00785A07"/>
    <w:rsid w:val="00785D1E"/>
    <w:rsid w:val="007870AE"/>
    <w:rsid w:val="007902AC"/>
    <w:rsid w:val="00790953"/>
    <w:rsid w:val="007911CF"/>
    <w:rsid w:val="007913CD"/>
    <w:rsid w:val="00791F24"/>
    <w:rsid w:val="007920AD"/>
    <w:rsid w:val="00794455"/>
    <w:rsid w:val="007944B3"/>
    <w:rsid w:val="007947AB"/>
    <w:rsid w:val="00794B00"/>
    <w:rsid w:val="00794CBF"/>
    <w:rsid w:val="00795461"/>
    <w:rsid w:val="007958A1"/>
    <w:rsid w:val="0079684E"/>
    <w:rsid w:val="007969F4"/>
    <w:rsid w:val="00796D9D"/>
    <w:rsid w:val="007A13FB"/>
    <w:rsid w:val="007A1433"/>
    <w:rsid w:val="007A1540"/>
    <w:rsid w:val="007A1619"/>
    <w:rsid w:val="007A1B3A"/>
    <w:rsid w:val="007A237D"/>
    <w:rsid w:val="007A2652"/>
    <w:rsid w:val="007A3A58"/>
    <w:rsid w:val="007A3D7C"/>
    <w:rsid w:val="007A4648"/>
    <w:rsid w:val="007A48B1"/>
    <w:rsid w:val="007A53A7"/>
    <w:rsid w:val="007A576A"/>
    <w:rsid w:val="007A62EE"/>
    <w:rsid w:val="007A6544"/>
    <w:rsid w:val="007A6E59"/>
    <w:rsid w:val="007A73C5"/>
    <w:rsid w:val="007B078A"/>
    <w:rsid w:val="007B1026"/>
    <w:rsid w:val="007B16C8"/>
    <w:rsid w:val="007B3C0A"/>
    <w:rsid w:val="007B3D77"/>
    <w:rsid w:val="007B4353"/>
    <w:rsid w:val="007B485A"/>
    <w:rsid w:val="007B49D1"/>
    <w:rsid w:val="007B5BEA"/>
    <w:rsid w:val="007B5E39"/>
    <w:rsid w:val="007B5F06"/>
    <w:rsid w:val="007B6613"/>
    <w:rsid w:val="007B6820"/>
    <w:rsid w:val="007B6BD2"/>
    <w:rsid w:val="007C026C"/>
    <w:rsid w:val="007C095E"/>
    <w:rsid w:val="007C0B73"/>
    <w:rsid w:val="007C19B6"/>
    <w:rsid w:val="007C2DBF"/>
    <w:rsid w:val="007C3804"/>
    <w:rsid w:val="007C400D"/>
    <w:rsid w:val="007C5188"/>
    <w:rsid w:val="007C5362"/>
    <w:rsid w:val="007C55A1"/>
    <w:rsid w:val="007C6B45"/>
    <w:rsid w:val="007C6E78"/>
    <w:rsid w:val="007C7C6A"/>
    <w:rsid w:val="007D0493"/>
    <w:rsid w:val="007D1296"/>
    <w:rsid w:val="007D1465"/>
    <w:rsid w:val="007D14D8"/>
    <w:rsid w:val="007D17E1"/>
    <w:rsid w:val="007D1AEC"/>
    <w:rsid w:val="007D1FF0"/>
    <w:rsid w:val="007D28C6"/>
    <w:rsid w:val="007D3936"/>
    <w:rsid w:val="007D5657"/>
    <w:rsid w:val="007D5D22"/>
    <w:rsid w:val="007D6088"/>
    <w:rsid w:val="007D6C0B"/>
    <w:rsid w:val="007D7FFA"/>
    <w:rsid w:val="007E26D2"/>
    <w:rsid w:val="007E3A84"/>
    <w:rsid w:val="007E3D0B"/>
    <w:rsid w:val="007E4B91"/>
    <w:rsid w:val="007E515D"/>
    <w:rsid w:val="007E5E0A"/>
    <w:rsid w:val="007E739A"/>
    <w:rsid w:val="007E7EF9"/>
    <w:rsid w:val="007F07D1"/>
    <w:rsid w:val="007F0ADB"/>
    <w:rsid w:val="007F1186"/>
    <w:rsid w:val="007F1BD0"/>
    <w:rsid w:val="007F218C"/>
    <w:rsid w:val="007F27FF"/>
    <w:rsid w:val="007F2D60"/>
    <w:rsid w:val="007F30CF"/>
    <w:rsid w:val="007F31D2"/>
    <w:rsid w:val="007F40E8"/>
    <w:rsid w:val="007F4127"/>
    <w:rsid w:val="007F413A"/>
    <w:rsid w:val="007F74A8"/>
    <w:rsid w:val="008012A4"/>
    <w:rsid w:val="00801B0D"/>
    <w:rsid w:val="0080276C"/>
    <w:rsid w:val="00803685"/>
    <w:rsid w:val="00805957"/>
    <w:rsid w:val="00806341"/>
    <w:rsid w:val="0080697F"/>
    <w:rsid w:val="008070D2"/>
    <w:rsid w:val="008076CA"/>
    <w:rsid w:val="00810206"/>
    <w:rsid w:val="0081086F"/>
    <w:rsid w:val="00810BE9"/>
    <w:rsid w:val="00811B14"/>
    <w:rsid w:val="00811F61"/>
    <w:rsid w:val="008123D7"/>
    <w:rsid w:val="00812A88"/>
    <w:rsid w:val="00812FD1"/>
    <w:rsid w:val="00813BC9"/>
    <w:rsid w:val="00813FC2"/>
    <w:rsid w:val="0081580F"/>
    <w:rsid w:val="00815F2E"/>
    <w:rsid w:val="00816E53"/>
    <w:rsid w:val="0081795A"/>
    <w:rsid w:val="00817A7A"/>
    <w:rsid w:val="00817B0A"/>
    <w:rsid w:val="008200AC"/>
    <w:rsid w:val="00820A2E"/>
    <w:rsid w:val="00821088"/>
    <w:rsid w:val="008214E0"/>
    <w:rsid w:val="0082194D"/>
    <w:rsid w:val="00821F51"/>
    <w:rsid w:val="00822004"/>
    <w:rsid w:val="00822137"/>
    <w:rsid w:val="00822798"/>
    <w:rsid w:val="00823614"/>
    <w:rsid w:val="00824701"/>
    <w:rsid w:val="00824996"/>
    <w:rsid w:val="00825F31"/>
    <w:rsid w:val="00825FB2"/>
    <w:rsid w:val="00826782"/>
    <w:rsid w:val="00827206"/>
    <w:rsid w:val="00827B0A"/>
    <w:rsid w:val="00830092"/>
    <w:rsid w:val="00830741"/>
    <w:rsid w:val="00831377"/>
    <w:rsid w:val="00832EF6"/>
    <w:rsid w:val="00832F20"/>
    <w:rsid w:val="0083388F"/>
    <w:rsid w:val="00836499"/>
    <w:rsid w:val="0084006B"/>
    <w:rsid w:val="0084006D"/>
    <w:rsid w:val="00840271"/>
    <w:rsid w:val="0084084F"/>
    <w:rsid w:val="00840995"/>
    <w:rsid w:val="0084140C"/>
    <w:rsid w:val="0084257B"/>
    <w:rsid w:val="00843255"/>
    <w:rsid w:val="00843A6B"/>
    <w:rsid w:val="00844E7C"/>
    <w:rsid w:val="00846196"/>
    <w:rsid w:val="00846B48"/>
    <w:rsid w:val="00851211"/>
    <w:rsid w:val="00851ABB"/>
    <w:rsid w:val="00851F46"/>
    <w:rsid w:val="00852475"/>
    <w:rsid w:val="00852C40"/>
    <w:rsid w:val="00852DFD"/>
    <w:rsid w:val="00853C82"/>
    <w:rsid w:val="00854E17"/>
    <w:rsid w:val="0085604F"/>
    <w:rsid w:val="0085625B"/>
    <w:rsid w:val="00856642"/>
    <w:rsid w:val="008567D9"/>
    <w:rsid w:val="0085685F"/>
    <w:rsid w:val="00857183"/>
    <w:rsid w:val="008572A7"/>
    <w:rsid w:val="00857857"/>
    <w:rsid w:val="00857B4B"/>
    <w:rsid w:val="00860449"/>
    <w:rsid w:val="00860BC4"/>
    <w:rsid w:val="00861A9E"/>
    <w:rsid w:val="00861CCD"/>
    <w:rsid w:val="00861DB1"/>
    <w:rsid w:val="00862100"/>
    <w:rsid w:val="008627C8"/>
    <w:rsid w:val="00862AB1"/>
    <w:rsid w:val="008635C3"/>
    <w:rsid w:val="0086388E"/>
    <w:rsid w:val="00865011"/>
    <w:rsid w:val="0086548C"/>
    <w:rsid w:val="00865DB0"/>
    <w:rsid w:val="00865E21"/>
    <w:rsid w:val="008667D1"/>
    <w:rsid w:val="00872221"/>
    <w:rsid w:val="0087259F"/>
    <w:rsid w:val="00872691"/>
    <w:rsid w:val="008732FE"/>
    <w:rsid w:val="00873474"/>
    <w:rsid w:val="00874F96"/>
    <w:rsid w:val="0087519B"/>
    <w:rsid w:val="00875702"/>
    <w:rsid w:val="00875C55"/>
    <w:rsid w:val="00876857"/>
    <w:rsid w:val="008768EE"/>
    <w:rsid w:val="008769F9"/>
    <w:rsid w:val="008775A9"/>
    <w:rsid w:val="008777D0"/>
    <w:rsid w:val="008805A1"/>
    <w:rsid w:val="008807C9"/>
    <w:rsid w:val="00880F17"/>
    <w:rsid w:val="008817CA"/>
    <w:rsid w:val="00882AA3"/>
    <w:rsid w:val="008830D4"/>
    <w:rsid w:val="008837E7"/>
    <w:rsid w:val="0088412B"/>
    <w:rsid w:val="00884B49"/>
    <w:rsid w:val="008856AD"/>
    <w:rsid w:val="008859FE"/>
    <w:rsid w:val="00885AE2"/>
    <w:rsid w:val="00885C97"/>
    <w:rsid w:val="00886484"/>
    <w:rsid w:val="00886C9A"/>
    <w:rsid w:val="008870B4"/>
    <w:rsid w:val="008871C3"/>
    <w:rsid w:val="00887212"/>
    <w:rsid w:val="00887842"/>
    <w:rsid w:val="00887C27"/>
    <w:rsid w:val="00891805"/>
    <w:rsid w:val="00891978"/>
    <w:rsid w:val="00891DD6"/>
    <w:rsid w:val="008926CC"/>
    <w:rsid w:val="00892A06"/>
    <w:rsid w:val="00892C44"/>
    <w:rsid w:val="00892FCB"/>
    <w:rsid w:val="008934C8"/>
    <w:rsid w:val="00893B91"/>
    <w:rsid w:val="00894AF2"/>
    <w:rsid w:val="0089506C"/>
    <w:rsid w:val="008954B2"/>
    <w:rsid w:val="008954C9"/>
    <w:rsid w:val="00895582"/>
    <w:rsid w:val="008969A1"/>
    <w:rsid w:val="008974EF"/>
    <w:rsid w:val="008A1781"/>
    <w:rsid w:val="008A1C4B"/>
    <w:rsid w:val="008A294E"/>
    <w:rsid w:val="008A2B10"/>
    <w:rsid w:val="008A338B"/>
    <w:rsid w:val="008A3FA7"/>
    <w:rsid w:val="008A41B6"/>
    <w:rsid w:val="008A509D"/>
    <w:rsid w:val="008A65AF"/>
    <w:rsid w:val="008A6AD9"/>
    <w:rsid w:val="008A6BF8"/>
    <w:rsid w:val="008A7025"/>
    <w:rsid w:val="008A7907"/>
    <w:rsid w:val="008B0DB0"/>
    <w:rsid w:val="008B0FB4"/>
    <w:rsid w:val="008B2389"/>
    <w:rsid w:val="008B2959"/>
    <w:rsid w:val="008B2ABE"/>
    <w:rsid w:val="008B3B45"/>
    <w:rsid w:val="008B3D51"/>
    <w:rsid w:val="008B4300"/>
    <w:rsid w:val="008B60EF"/>
    <w:rsid w:val="008B63B5"/>
    <w:rsid w:val="008B65F8"/>
    <w:rsid w:val="008B6600"/>
    <w:rsid w:val="008B685A"/>
    <w:rsid w:val="008B6D46"/>
    <w:rsid w:val="008B7227"/>
    <w:rsid w:val="008B768A"/>
    <w:rsid w:val="008B769B"/>
    <w:rsid w:val="008B771A"/>
    <w:rsid w:val="008C00C2"/>
    <w:rsid w:val="008C071E"/>
    <w:rsid w:val="008C09C6"/>
    <w:rsid w:val="008C3602"/>
    <w:rsid w:val="008C7605"/>
    <w:rsid w:val="008C7C67"/>
    <w:rsid w:val="008D154C"/>
    <w:rsid w:val="008D1631"/>
    <w:rsid w:val="008D1CA8"/>
    <w:rsid w:val="008D23F6"/>
    <w:rsid w:val="008D2D54"/>
    <w:rsid w:val="008D3C28"/>
    <w:rsid w:val="008D4530"/>
    <w:rsid w:val="008D45EB"/>
    <w:rsid w:val="008D4979"/>
    <w:rsid w:val="008D5252"/>
    <w:rsid w:val="008D571B"/>
    <w:rsid w:val="008D66EF"/>
    <w:rsid w:val="008D6BD4"/>
    <w:rsid w:val="008D7A49"/>
    <w:rsid w:val="008E0047"/>
    <w:rsid w:val="008E0B20"/>
    <w:rsid w:val="008E154D"/>
    <w:rsid w:val="008E1801"/>
    <w:rsid w:val="008E19A4"/>
    <w:rsid w:val="008E2489"/>
    <w:rsid w:val="008E25FE"/>
    <w:rsid w:val="008E3B1A"/>
    <w:rsid w:val="008E4562"/>
    <w:rsid w:val="008E4FEC"/>
    <w:rsid w:val="008E51F1"/>
    <w:rsid w:val="008E5F33"/>
    <w:rsid w:val="008F00E6"/>
    <w:rsid w:val="008F09B1"/>
    <w:rsid w:val="008F09E0"/>
    <w:rsid w:val="008F0FE9"/>
    <w:rsid w:val="008F1080"/>
    <w:rsid w:val="008F10F6"/>
    <w:rsid w:val="008F2300"/>
    <w:rsid w:val="008F29EB"/>
    <w:rsid w:val="008F354C"/>
    <w:rsid w:val="008F3DF5"/>
    <w:rsid w:val="008F5A36"/>
    <w:rsid w:val="008F5E80"/>
    <w:rsid w:val="008F5F00"/>
    <w:rsid w:val="008F71E0"/>
    <w:rsid w:val="008F7568"/>
    <w:rsid w:val="008F7701"/>
    <w:rsid w:val="009000B0"/>
    <w:rsid w:val="009000CF"/>
    <w:rsid w:val="00900199"/>
    <w:rsid w:val="00900283"/>
    <w:rsid w:val="0090032E"/>
    <w:rsid w:val="00900BB3"/>
    <w:rsid w:val="00900C21"/>
    <w:rsid w:val="0090198E"/>
    <w:rsid w:val="009019F1"/>
    <w:rsid w:val="00902323"/>
    <w:rsid w:val="009024E6"/>
    <w:rsid w:val="00902D08"/>
    <w:rsid w:val="00903591"/>
    <w:rsid w:val="00903B1F"/>
    <w:rsid w:val="009043AC"/>
    <w:rsid w:val="00905273"/>
    <w:rsid w:val="00905740"/>
    <w:rsid w:val="00907241"/>
    <w:rsid w:val="00910AFC"/>
    <w:rsid w:val="0091167B"/>
    <w:rsid w:val="00911F2D"/>
    <w:rsid w:val="00912C75"/>
    <w:rsid w:val="00912CDC"/>
    <w:rsid w:val="00915C1C"/>
    <w:rsid w:val="00916139"/>
    <w:rsid w:val="00916483"/>
    <w:rsid w:val="00916D80"/>
    <w:rsid w:val="00920963"/>
    <w:rsid w:val="00920C06"/>
    <w:rsid w:val="00920EBE"/>
    <w:rsid w:val="00921255"/>
    <w:rsid w:val="00921D63"/>
    <w:rsid w:val="00923323"/>
    <w:rsid w:val="0092356E"/>
    <w:rsid w:val="00923FAF"/>
    <w:rsid w:val="00924874"/>
    <w:rsid w:val="00925412"/>
    <w:rsid w:val="009256D3"/>
    <w:rsid w:val="009262F9"/>
    <w:rsid w:val="00926EA7"/>
    <w:rsid w:val="00927323"/>
    <w:rsid w:val="0093081C"/>
    <w:rsid w:val="00932221"/>
    <w:rsid w:val="00932CF4"/>
    <w:rsid w:val="009333A5"/>
    <w:rsid w:val="00933652"/>
    <w:rsid w:val="009345AE"/>
    <w:rsid w:val="009345EA"/>
    <w:rsid w:val="00935F0B"/>
    <w:rsid w:val="00936898"/>
    <w:rsid w:val="00937D0B"/>
    <w:rsid w:val="009403B9"/>
    <w:rsid w:val="009406A4"/>
    <w:rsid w:val="009410E3"/>
    <w:rsid w:val="00941387"/>
    <w:rsid w:val="0094173E"/>
    <w:rsid w:val="009418D7"/>
    <w:rsid w:val="009434E5"/>
    <w:rsid w:val="009435DD"/>
    <w:rsid w:val="00943916"/>
    <w:rsid w:val="009446EB"/>
    <w:rsid w:val="0094489A"/>
    <w:rsid w:val="00944FAE"/>
    <w:rsid w:val="00945728"/>
    <w:rsid w:val="009457F0"/>
    <w:rsid w:val="00945B63"/>
    <w:rsid w:val="00946073"/>
    <w:rsid w:val="00947550"/>
    <w:rsid w:val="00947A10"/>
    <w:rsid w:val="009519E3"/>
    <w:rsid w:val="00951BD5"/>
    <w:rsid w:val="00953D56"/>
    <w:rsid w:val="009600D5"/>
    <w:rsid w:val="00960286"/>
    <w:rsid w:val="00960B59"/>
    <w:rsid w:val="00960C57"/>
    <w:rsid w:val="00961A61"/>
    <w:rsid w:val="0096208F"/>
    <w:rsid w:val="00964274"/>
    <w:rsid w:val="00965E65"/>
    <w:rsid w:val="009660EC"/>
    <w:rsid w:val="009661B4"/>
    <w:rsid w:val="009667B5"/>
    <w:rsid w:val="0096787A"/>
    <w:rsid w:val="009678F3"/>
    <w:rsid w:val="00971517"/>
    <w:rsid w:val="009715E9"/>
    <w:rsid w:val="0097179C"/>
    <w:rsid w:val="00973A3A"/>
    <w:rsid w:val="00973EBB"/>
    <w:rsid w:val="00973FD8"/>
    <w:rsid w:val="009744C9"/>
    <w:rsid w:val="00974C79"/>
    <w:rsid w:val="00974E5A"/>
    <w:rsid w:val="00975AC2"/>
    <w:rsid w:val="00976F4F"/>
    <w:rsid w:val="009779BA"/>
    <w:rsid w:val="00977EC1"/>
    <w:rsid w:val="009803BF"/>
    <w:rsid w:val="00980C9E"/>
    <w:rsid w:val="00982D82"/>
    <w:rsid w:val="00983BB1"/>
    <w:rsid w:val="009845DE"/>
    <w:rsid w:val="0098661A"/>
    <w:rsid w:val="00986D7C"/>
    <w:rsid w:val="0099088B"/>
    <w:rsid w:val="00990CC2"/>
    <w:rsid w:val="00991857"/>
    <w:rsid w:val="009921BA"/>
    <w:rsid w:val="00992B49"/>
    <w:rsid w:val="00992CF1"/>
    <w:rsid w:val="00993C46"/>
    <w:rsid w:val="00994BE4"/>
    <w:rsid w:val="009952FC"/>
    <w:rsid w:val="00995CC5"/>
    <w:rsid w:val="00995E81"/>
    <w:rsid w:val="0099697B"/>
    <w:rsid w:val="009969E6"/>
    <w:rsid w:val="009974A3"/>
    <w:rsid w:val="00997972"/>
    <w:rsid w:val="009A00AD"/>
    <w:rsid w:val="009A0D6A"/>
    <w:rsid w:val="009A0FFE"/>
    <w:rsid w:val="009A148B"/>
    <w:rsid w:val="009A1A61"/>
    <w:rsid w:val="009A1CA8"/>
    <w:rsid w:val="009A1F26"/>
    <w:rsid w:val="009A20CB"/>
    <w:rsid w:val="009A22B3"/>
    <w:rsid w:val="009A2C28"/>
    <w:rsid w:val="009A5C2C"/>
    <w:rsid w:val="009A65BA"/>
    <w:rsid w:val="009A7207"/>
    <w:rsid w:val="009A7849"/>
    <w:rsid w:val="009A7E8B"/>
    <w:rsid w:val="009B0F65"/>
    <w:rsid w:val="009B1BA8"/>
    <w:rsid w:val="009B1D45"/>
    <w:rsid w:val="009B23FC"/>
    <w:rsid w:val="009B2B73"/>
    <w:rsid w:val="009B2F95"/>
    <w:rsid w:val="009B3085"/>
    <w:rsid w:val="009B3203"/>
    <w:rsid w:val="009B3BA2"/>
    <w:rsid w:val="009B4430"/>
    <w:rsid w:val="009B534A"/>
    <w:rsid w:val="009B53B3"/>
    <w:rsid w:val="009B5C6B"/>
    <w:rsid w:val="009B6FA8"/>
    <w:rsid w:val="009C124D"/>
    <w:rsid w:val="009C2044"/>
    <w:rsid w:val="009C25E6"/>
    <w:rsid w:val="009C2607"/>
    <w:rsid w:val="009C3BC8"/>
    <w:rsid w:val="009C3C96"/>
    <w:rsid w:val="009C465B"/>
    <w:rsid w:val="009C52B5"/>
    <w:rsid w:val="009C5A35"/>
    <w:rsid w:val="009C5E4C"/>
    <w:rsid w:val="009C60C6"/>
    <w:rsid w:val="009C67A1"/>
    <w:rsid w:val="009D071A"/>
    <w:rsid w:val="009D1906"/>
    <w:rsid w:val="009D1DEB"/>
    <w:rsid w:val="009D223B"/>
    <w:rsid w:val="009D2D54"/>
    <w:rsid w:val="009D607A"/>
    <w:rsid w:val="009D65E3"/>
    <w:rsid w:val="009D6DEC"/>
    <w:rsid w:val="009D749A"/>
    <w:rsid w:val="009D7B77"/>
    <w:rsid w:val="009E1448"/>
    <w:rsid w:val="009E2EFE"/>
    <w:rsid w:val="009E39E6"/>
    <w:rsid w:val="009E5988"/>
    <w:rsid w:val="009E5F10"/>
    <w:rsid w:val="009E691A"/>
    <w:rsid w:val="009E69FA"/>
    <w:rsid w:val="009E715D"/>
    <w:rsid w:val="009E717D"/>
    <w:rsid w:val="009F1159"/>
    <w:rsid w:val="009F1268"/>
    <w:rsid w:val="009F2102"/>
    <w:rsid w:val="009F3AD5"/>
    <w:rsid w:val="009F3B41"/>
    <w:rsid w:val="009F41F7"/>
    <w:rsid w:val="009F59FA"/>
    <w:rsid w:val="009F5C68"/>
    <w:rsid w:val="009F62C7"/>
    <w:rsid w:val="009F7149"/>
    <w:rsid w:val="009F7540"/>
    <w:rsid w:val="009F75DF"/>
    <w:rsid w:val="00A005F5"/>
    <w:rsid w:val="00A006DC"/>
    <w:rsid w:val="00A01EC9"/>
    <w:rsid w:val="00A02111"/>
    <w:rsid w:val="00A021D4"/>
    <w:rsid w:val="00A0259B"/>
    <w:rsid w:val="00A02F7A"/>
    <w:rsid w:val="00A03617"/>
    <w:rsid w:val="00A03B3B"/>
    <w:rsid w:val="00A03EBF"/>
    <w:rsid w:val="00A04567"/>
    <w:rsid w:val="00A0471D"/>
    <w:rsid w:val="00A049D0"/>
    <w:rsid w:val="00A05098"/>
    <w:rsid w:val="00A0517D"/>
    <w:rsid w:val="00A052B0"/>
    <w:rsid w:val="00A05DCC"/>
    <w:rsid w:val="00A0655A"/>
    <w:rsid w:val="00A06F7B"/>
    <w:rsid w:val="00A113F7"/>
    <w:rsid w:val="00A116C4"/>
    <w:rsid w:val="00A11AB1"/>
    <w:rsid w:val="00A11D95"/>
    <w:rsid w:val="00A139B0"/>
    <w:rsid w:val="00A13DED"/>
    <w:rsid w:val="00A13F5B"/>
    <w:rsid w:val="00A143C6"/>
    <w:rsid w:val="00A1624B"/>
    <w:rsid w:val="00A166C7"/>
    <w:rsid w:val="00A16707"/>
    <w:rsid w:val="00A167AD"/>
    <w:rsid w:val="00A16978"/>
    <w:rsid w:val="00A16C17"/>
    <w:rsid w:val="00A171DA"/>
    <w:rsid w:val="00A17BC6"/>
    <w:rsid w:val="00A20428"/>
    <w:rsid w:val="00A2066F"/>
    <w:rsid w:val="00A23028"/>
    <w:rsid w:val="00A24626"/>
    <w:rsid w:val="00A24B26"/>
    <w:rsid w:val="00A25838"/>
    <w:rsid w:val="00A26086"/>
    <w:rsid w:val="00A2665E"/>
    <w:rsid w:val="00A26883"/>
    <w:rsid w:val="00A26A75"/>
    <w:rsid w:val="00A3052E"/>
    <w:rsid w:val="00A31054"/>
    <w:rsid w:val="00A318E6"/>
    <w:rsid w:val="00A31E66"/>
    <w:rsid w:val="00A33580"/>
    <w:rsid w:val="00A355AC"/>
    <w:rsid w:val="00A357C0"/>
    <w:rsid w:val="00A35AB7"/>
    <w:rsid w:val="00A36507"/>
    <w:rsid w:val="00A37401"/>
    <w:rsid w:val="00A37F80"/>
    <w:rsid w:val="00A4080F"/>
    <w:rsid w:val="00A412A9"/>
    <w:rsid w:val="00A4192C"/>
    <w:rsid w:val="00A41C1B"/>
    <w:rsid w:val="00A429E7"/>
    <w:rsid w:val="00A4335A"/>
    <w:rsid w:val="00A44668"/>
    <w:rsid w:val="00A44864"/>
    <w:rsid w:val="00A44C6F"/>
    <w:rsid w:val="00A464FD"/>
    <w:rsid w:val="00A46D3B"/>
    <w:rsid w:val="00A47767"/>
    <w:rsid w:val="00A5028B"/>
    <w:rsid w:val="00A50A68"/>
    <w:rsid w:val="00A519EC"/>
    <w:rsid w:val="00A52CA0"/>
    <w:rsid w:val="00A54444"/>
    <w:rsid w:val="00A550D0"/>
    <w:rsid w:val="00A55402"/>
    <w:rsid w:val="00A55CCB"/>
    <w:rsid w:val="00A562B9"/>
    <w:rsid w:val="00A56CD4"/>
    <w:rsid w:val="00A570B5"/>
    <w:rsid w:val="00A57CA5"/>
    <w:rsid w:val="00A60625"/>
    <w:rsid w:val="00A60A97"/>
    <w:rsid w:val="00A6100F"/>
    <w:rsid w:val="00A6127A"/>
    <w:rsid w:val="00A616E4"/>
    <w:rsid w:val="00A618A9"/>
    <w:rsid w:val="00A619CE"/>
    <w:rsid w:val="00A62466"/>
    <w:rsid w:val="00A62B47"/>
    <w:rsid w:val="00A62DE1"/>
    <w:rsid w:val="00A62FAB"/>
    <w:rsid w:val="00A6306B"/>
    <w:rsid w:val="00A6442E"/>
    <w:rsid w:val="00A644CF"/>
    <w:rsid w:val="00A64CCA"/>
    <w:rsid w:val="00A655C9"/>
    <w:rsid w:val="00A67724"/>
    <w:rsid w:val="00A67B86"/>
    <w:rsid w:val="00A70477"/>
    <w:rsid w:val="00A7163D"/>
    <w:rsid w:val="00A7172B"/>
    <w:rsid w:val="00A71D1A"/>
    <w:rsid w:val="00A7206E"/>
    <w:rsid w:val="00A7215A"/>
    <w:rsid w:val="00A72666"/>
    <w:rsid w:val="00A7299D"/>
    <w:rsid w:val="00A7453C"/>
    <w:rsid w:val="00A746E1"/>
    <w:rsid w:val="00A752C0"/>
    <w:rsid w:val="00A75386"/>
    <w:rsid w:val="00A757A2"/>
    <w:rsid w:val="00A764AD"/>
    <w:rsid w:val="00A764B5"/>
    <w:rsid w:val="00A764C4"/>
    <w:rsid w:val="00A76535"/>
    <w:rsid w:val="00A768D7"/>
    <w:rsid w:val="00A76A53"/>
    <w:rsid w:val="00A77207"/>
    <w:rsid w:val="00A77A17"/>
    <w:rsid w:val="00A8064F"/>
    <w:rsid w:val="00A80777"/>
    <w:rsid w:val="00A80798"/>
    <w:rsid w:val="00A811D8"/>
    <w:rsid w:val="00A81B76"/>
    <w:rsid w:val="00A82EF9"/>
    <w:rsid w:val="00A83207"/>
    <w:rsid w:val="00A83A7D"/>
    <w:rsid w:val="00A84961"/>
    <w:rsid w:val="00A855C5"/>
    <w:rsid w:val="00A87217"/>
    <w:rsid w:val="00A8779B"/>
    <w:rsid w:val="00A877BF"/>
    <w:rsid w:val="00A87D8C"/>
    <w:rsid w:val="00A87FA6"/>
    <w:rsid w:val="00A908CD"/>
    <w:rsid w:val="00A90998"/>
    <w:rsid w:val="00A91114"/>
    <w:rsid w:val="00A91598"/>
    <w:rsid w:val="00A91B96"/>
    <w:rsid w:val="00A91BFC"/>
    <w:rsid w:val="00A922EC"/>
    <w:rsid w:val="00A926D0"/>
    <w:rsid w:val="00A92E5B"/>
    <w:rsid w:val="00A93A7F"/>
    <w:rsid w:val="00A9533C"/>
    <w:rsid w:val="00A96D33"/>
    <w:rsid w:val="00A96E47"/>
    <w:rsid w:val="00A97957"/>
    <w:rsid w:val="00A97F33"/>
    <w:rsid w:val="00AA03BD"/>
    <w:rsid w:val="00AA0FA0"/>
    <w:rsid w:val="00AA1169"/>
    <w:rsid w:val="00AA11A0"/>
    <w:rsid w:val="00AA1474"/>
    <w:rsid w:val="00AA18AF"/>
    <w:rsid w:val="00AA1B5D"/>
    <w:rsid w:val="00AA3274"/>
    <w:rsid w:val="00AA3380"/>
    <w:rsid w:val="00AA5DE4"/>
    <w:rsid w:val="00AA61E1"/>
    <w:rsid w:val="00AA6DAD"/>
    <w:rsid w:val="00AA7CDB"/>
    <w:rsid w:val="00AB0374"/>
    <w:rsid w:val="00AB0E42"/>
    <w:rsid w:val="00AB0E82"/>
    <w:rsid w:val="00AB0FCD"/>
    <w:rsid w:val="00AB2184"/>
    <w:rsid w:val="00AB27DC"/>
    <w:rsid w:val="00AB2B8C"/>
    <w:rsid w:val="00AB31BA"/>
    <w:rsid w:val="00AB5A88"/>
    <w:rsid w:val="00AB61D4"/>
    <w:rsid w:val="00AB6A75"/>
    <w:rsid w:val="00AB7598"/>
    <w:rsid w:val="00AC0FF7"/>
    <w:rsid w:val="00AC1E5E"/>
    <w:rsid w:val="00AC2A91"/>
    <w:rsid w:val="00AC2DFE"/>
    <w:rsid w:val="00AC38D9"/>
    <w:rsid w:val="00AC4560"/>
    <w:rsid w:val="00AC47B6"/>
    <w:rsid w:val="00AC4DB1"/>
    <w:rsid w:val="00AC50F9"/>
    <w:rsid w:val="00AC59E5"/>
    <w:rsid w:val="00AC62A2"/>
    <w:rsid w:val="00AC634B"/>
    <w:rsid w:val="00AD15A0"/>
    <w:rsid w:val="00AD1783"/>
    <w:rsid w:val="00AD2DED"/>
    <w:rsid w:val="00AD2E24"/>
    <w:rsid w:val="00AD3E83"/>
    <w:rsid w:val="00AD4022"/>
    <w:rsid w:val="00AD4492"/>
    <w:rsid w:val="00AD49E0"/>
    <w:rsid w:val="00AD4D16"/>
    <w:rsid w:val="00AD5A32"/>
    <w:rsid w:val="00AD5FCA"/>
    <w:rsid w:val="00AD7A91"/>
    <w:rsid w:val="00AE0230"/>
    <w:rsid w:val="00AE0DE8"/>
    <w:rsid w:val="00AE10ED"/>
    <w:rsid w:val="00AE1142"/>
    <w:rsid w:val="00AE12B7"/>
    <w:rsid w:val="00AE141D"/>
    <w:rsid w:val="00AE1738"/>
    <w:rsid w:val="00AE18FF"/>
    <w:rsid w:val="00AE20B2"/>
    <w:rsid w:val="00AE2699"/>
    <w:rsid w:val="00AE3C95"/>
    <w:rsid w:val="00AE52F1"/>
    <w:rsid w:val="00AE5FFF"/>
    <w:rsid w:val="00AE6A4B"/>
    <w:rsid w:val="00AE79D9"/>
    <w:rsid w:val="00AF09C2"/>
    <w:rsid w:val="00AF10A0"/>
    <w:rsid w:val="00AF30BD"/>
    <w:rsid w:val="00AF40D3"/>
    <w:rsid w:val="00AF4C1C"/>
    <w:rsid w:val="00AF4DB7"/>
    <w:rsid w:val="00AF5124"/>
    <w:rsid w:val="00AF53A3"/>
    <w:rsid w:val="00AF6136"/>
    <w:rsid w:val="00AF620B"/>
    <w:rsid w:val="00AF6231"/>
    <w:rsid w:val="00AF6937"/>
    <w:rsid w:val="00AF7560"/>
    <w:rsid w:val="00B0057C"/>
    <w:rsid w:val="00B00D17"/>
    <w:rsid w:val="00B015F5"/>
    <w:rsid w:val="00B02796"/>
    <w:rsid w:val="00B02EE0"/>
    <w:rsid w:val="00B05CAC"/>
    <w:rsid w:val="00B06000"/>
    <w:rsid w:val="00B06064"/>
    <w:rsid w:val="00B0643A"/>
    <w:rsid w:val="00B07BD4"/>
    <w:rsid w:val="00B10C77"/>
    <w:rsid w:val="00B10E93"/>
    <w:rsid w:val="00B12430"/>
    <w:rsid w:val="00B1278D"/>
    <w:rsid w:val="00B12A51"/>
    <w:rsid w:val="00B13343"/>
    <w:rsid w:val="00B13639"/>
    <w:rsid w:val="00B13796"/>
    <w:rsid w:val="00B13F86"/>
    <w:rsid w:val="00B142CE"/>
    <w:rsid w:val="00B14EC4"/>
    <w:rsid w:val="00B1663B"/>
    <w:rsid w:val="00B17627"/>
    <w:rsid w:val="00B17675"/>
    <w:rsid w:val="00B17800"/>
    <w:rsid w:val="00B200C4"/>
    <w:rsid w:val="00B201CF"/>
    <w:rsid w:val="00B206A4"/>
    <w:rsid w:val="00B21A10"/>
    <w:rsid w:val="00B21E71"/>
    <w:rsid w:val="00B23B34"/>
    <w:rsid w:val="00B23FE1"/>
    <w:rsid w:val="00B24293"/>
    <w:rsid w:val="00B246D0"/>
    <w:rsid w:val="00B248CD"/>
    <w:rsid w:val="00B2563E"/>
    <w:rsid w:val="00B25812"/>
    <w:rsid w:val="00B26306"/>
    <w:rsid w:val="00B2634B"/>
    <w:rsid w:val="00B26365"/>
    <w:rsid w:val="00B26614"/>
    <w:rsid w:val="00B26ADB"/>
    <w:rsid w:val="00B26C1B"/>
    <w:rsid w:val="00B26EF4"/>
    <w:rsid w:val="00B2756B"/>
    <w:rsid w:val="00B277DB"/>
    <w:rsid w:val="00B27AFB"/>
    <w:rsid w:val="00B30B0D"/>
    <w:rsid w:val="00B31AF2"/>
    <w:rsid w:val="00B321FF"/>
    <w:rsid w:val="00B32264"/>
    <w:rsid w:val="00B3227C"/>
    <w:rsid w:val="00B3299F"/>
    <w:rsid w:val="00B32D2C"/>
    <w:rsid w:val="00B32E16"/>
    <w:rsid w:val="00B338CF"/>
    <w:rsid w:val="00B33E02"/>
    <w:rsid w:val="00B345E2"/>
    <w:rsid w:val="00B364F9"/>
    <w:rsid w:val="00B365CC"/>
    <w:rsid w:val="00B368F1"/>
    <w:rsid w:val="00B369AE"/>
    <w:rsid w:val="00B3717A"/>
    <w:rsid w:val="00B376CB"/>
    <w:rsid w:val="00B37E72"/>
    <w:rsid w:val="00B414C2"/>
    <w:rsid w:val="00B418EC"/>
    <w:rsid w:val="00B42631"/>
    <w:rsid w:val="00B428A2"/>
    <w:rsid w:val="00B437BF"/>
    <w:rsid w:val="00B4475A"/>
    <w:rsid w:val="00B44D16"/>
    <w:rsid w:val="00B45993"/>
    <w:rsid w:val="00B47707"/>
    <w:rsid w:val="00B47A8B"/>
    <w:rsid w:val="00B50ABC"/>
    <w:rsid w:val="00B50DC4"/>
    <w:rsid w:val="00B515DB"/>
    <w:rsid w:val="00B517B1"/>
    <w:rsid w:val="00B519BD"/>
    <w:rsid w:val="00B51D40"/>
    <w:rsid w:val="00B523EE"/>
    <w:rsid w:val="00B528E3"/>
    <w:rsid w:val="00B52933"/>
    <w:rsid w:val="00B53345"/>
    <w:rsid w:val="00B539E6"/>
    <w:rsid w:val="00B54314"/>
    <w:rsid w:val="00B5472E"/>
    <w:rsid w:val="00B55116"/>
    <w:rsid w:val="00B56476"/>
    <w:rsid w:val="00B56C1E"/>
    <w:rsid w:val="00B57145"/>
    <w:rsid w:val="00B60201"/>
    <w:rsid w:val="00B61924"/>
    <w:rsid w:val="00B619FC"/>
    <w:rsid w:val="00B61BE7"/>
    <w:rsid w:val="00B626AA"/>
    <w:rsid w:val="00B626BB"/>
    <w:rsid w:val="00B628A5"/>
    <w:rsid w:val="00B630F0"/>
    <w:rsid w:val="00B6325C"/>
    <w:rsid w:val="00B63901"/>
    <w:rsid w:val="00B63C2A"/>
    <w:rsid w:val="00B640C0"/>
    <w:rsid w:val="00B67CCF"/>
    <w:rsid w:val="00B7006D"/>
    <w:rsid w:val="00B70A8E"/>
    <w:rsid w:val="00B70DF2"/>
    <w:rsid w:val="00B710D2"/>
    <w:rsid w:val="00B729F8"/>
    <w:rsid w:val="00B737A8"/>
    <w:rsid w:val="00B749D3"/>
    <w:rsid w:val="00B74F51"/>
    <w:rsid w:val="00B751DD"/>
    <w:rsid w:val="00B75709"/>
    <w:rsid w:val="00B75DB3"/>
    <w:rsid w:val="00B75F7A"/>
    <w:rsid w:val="00B76513"/>
    <w:rsid w:val="00B76789"/>
    <w:rsid w:val="00B76BB4"/>
    <w:rsid w:val="00B76CF3"/>
    <w:rsid w:val="00B76EEF"/>
    <w:rsid w:val="00B77B6C"/>
    <w:rsid w:val="00B8038C"/>
    <w:rsid w:val="00B8055D"/>
    <w:rsid w:val="00B816F7"/>
    <w:rsid w:val="00B81E1A"/>
    <w:rsid w:val="00B825AF"/>
    <w:rsid w:val="00B82ABB"/>
    <w:rsid w:val="00B836A9"/>
    <w:rsid w:val="00B83ABD"/>
    <w:rsid w:val="00B843DC"/>
    <w:rsid w:val="00B8452A"/>
    <w:rsid w:val="00B848A2"/>
    <w:rsid w:val="00B84FE4"/>
    <w:rsid w:val="00B84FF3"/>
    <w:rsid w:val="00B85F0A"/>
    <w:rsid w:val="00B86E8E"/>
    <w:rsid w:val="00B87826"/>
    <w:rsid w:val="00B87B9C"/>
    <w:rsid w:val="00B87F44"/>
    <w:rsid w:val="00B90443"/>
    <w:rsid w:val="00B942BB"/>
    <w:rsid w:val="00B94F99"/>
    <w:rsid w:val="00B95124"/>
    <w:rsid w:val="00B95129"/>
    <w:rsid w:val="00B9593E"/>
    <w:rsid w:val="00B959E3"/>
    <w:rsid w:val="00B95D44"/>
    <w:rsid w:val="00B960CD"/>
    <w:rsid w:val="00B96138"/>
    <w:rsid w:val="00BA01B1"/>
    <w:rsid w:val="00BA03A6"/>
    <w:rsid w:val="00BA1337"/>
    <w:rsid w:val="00BA1C1F"/>
    <w:rsid w:val="00BA2EF8"/>
    <w:rsid w:val="00BA31E3"/>
    <w:rsid w:val="00BA3229"/>
    <w:rsid w:val="00BA3DF0"/>
    <w:rsid w:val="00BA467C"/>
    <w:rsid w:val="00BA515F"/>
    <w:rsid w:val="00BA58A9"/>
    <w:rsid w:val="00BA59BF"/>
    <w:rsid w:val="00BA6AE7"/>
    <w:rsid w:val="00BA714F"/>
    <w:rsid w:val="00BB0B8E"/>
    <w:rsid w:val="00BB0BAC"/>
    <w:rsid w:val="00BB15EA"/>
    <w:rsid w:val="00BB1688"/>
    <w:rsid w:val="00BB19AA"/>
    <w:rsid w:val="00BB20E2"/>
    <w:rsid w:val="00BB2D0C"/>
    <w:rsid w:val="00BB376B"/>
    <w:rsid w:val="00BB44EC"/>
    <w:rsid w:val="00BB49F5"/>
    <w:rsid w:val="00BB505F"/>
    <w:rsid w:val="00BB55A4"/>
    <w:rsid w:val="00BB64E4"/>
    <w:rsid w:val="00BB6544"/>
    <w:rsid w:val="00BB7569"/>
    <w:rsid w:val="00BB7FF2"/>
    <w:rsid w:val="00BC08CC"/>
    <w:rsid w:val="00BC2A9C"/>
    <w:rsid w:val="00BC2D1B"/>
    <w:rsid w:val="00BC2DBD"/>
    <w:rsid w:val="00BC3B4C"/>
    <w:rsid w:val="00BC3F44"/>
    <w:rsid w:val="00BC42C2"/>
    <w:rsid w:val="00BC4304"/>
    <w:rsid w:val="00BC479F"/>
    <w:rsid w:val="00BC4886"/>
    <w:rsid w:val="00BC563D"/>
    <w:rsid w:val="00BC56AD"/>
    <w:rsid w:val="00BC60EB"/>
    <w:rsid w:val="00BC614C"/>
    <w:rsid w:val="00BC647A"/>
    <w:rsid w:val="00BC7346"/>
    <w:rsid w:val="00BD1FD9"/>
    <w:rsid w:val="00BD319E"/>
    <w:rsid w:val="00BD3642"/>
    <w:rsid w:val="00BD44AF"/>
    <w:rsid w:val="00BD48C9"/>
    <w:rsid w:val="00BD48D8"/>
    <w:rsid w:val="00BD5026"/>
    <w:rsid w:val="00BD5313"/>
    <w:rsid w:val="00BD57E9"/>
    <w:rsid w:val="00BD588A"/>
    <w:rsid w:val="00BD6785"/>
    <w:rsid w:val="00BD78EA"/>
    <w:rsid w:val="00BE06BB"/>
    <w:rsid w:val="00BE0A7E"/>
    <w:rsid w:val="00BE0F16"/>
    <w:rsid w:val="00BE1313"/>
    <w:rsid w:val="00BE1BB8"/>
    <w:rsid w:val="00BE1F69"/>
    <w:rsid w:val="00BE25E7"/>
    <w:rsid w:val="00BE4212"/>
    <w:rsid w:val="00BE4717"/>
    <w:rsid w:val="00BE4D3D"/>
    <w:rsid w:val="00BE5880"/>
    <w:rsid w:val="00BE61ED"/>
    <w:rsid w:val="00BE78C9"/>
    <w:rsid w:val="00BE7ABA"/>
    <w:rsid w:val="00BF1621"/>
    <w:rsid w:val="00BF190D"/>
    <w:rsid w:val="00BF1B01"/>
    <w:rsid w:val="00BF2B1D"/>
    <w:rsid w:val="00BF2BF9"/>
    <w:rsid w:val="00BF38A0"/>
    <w:rsid w:val="00BF3B3C"/>
    <w:rsid w:val="00BF4DBC"/>
    <w:rsid w:val="00BF4EFA"/>
    <w:rsid w:val="00BF664F"/>
    <w:rsid w:val="00BF7E94"/>
    <w:rsid w:val="00BF7F31"/>
    <w:rsid w:val="00C00BAD"/>
    <w:rsid w:val="00C00F4B"/>
    <w:rsid w:val="00C02126"/>
    <w:rsid w:val="00C0212D"/>
    <w:rsid w:val="00C02D50"/>
    <w:rsid w:val="00C03D70"/>
    <w:rsid w:val="00C03DF6"/>
    <w:rsid w:val="00C03FFC"/>
    <w:rsid w:val="00C04198"/>
    <w:rsid w:val="00C0485B"/>
    <w:rsid w:val="00C048C3"/>
    <w:rsid w:val="00C0776B"/>
    <w:rsid w:val="00C07900"/>
    <w:rsid w:val="00C1008C"/>
    <w:rsid w:val="00C11CA8"/>
    <w:rsid w:val="00C11D0B"/>
    <w:rsid w:val="00C11F91"/>
    <w:rsid w:val="00C12918"/>
    <w:rsid w:val="00C13A06"/>
    <w:rsid w:val="00C13C2A"/>
    <w:rsid w:val="00C1465D"/>
    <w:rsid w:val="00C14C6F"/>
    <w:rsid w:val="00C14CBA"/>
    <w:rsid w:val="00C16851"/>
    <w:rsid w:val="00C1751B"/>
    <w:rsid w:val="00C2064D"/>
    <w:rsid w:val="00C21208"/>
    <w:rsid w:val="00C21FEC"/>
    <w:rsid w:val="00C22841"/>
    <w:rsid w:val="00C22916"/>
    <w:rsid w:val="00C230E5"/>
    <w:rsid w:val="00C23283"/>
    <w:rsid w:val="00C23B70"/>
    <w:rsid w:val="00C24887"/>
    <w:rsid w:val="00C24A08"/>
    <w:rsid w:val="00C264D7"/>
    <w:rsid w:val="00C266D3"/>
    <w:rsid w:val="00C26A2E"/>
    <w:rsid w:val="00C273B9"/>
    <w:rsid w:val="00C30A1A"/>
    <w:rsid w:val="00C3234F"/>
    <w:rsid w:val="00C3245B"/>
    <w:rsid w:val="00C32A8B"/>
    <w:rsid w:val="00C33530"/>
    <w:rsid w:val="00C3433A"/>
    <w:rsid w:val="00C34C34"/>
    <w:rsid w:val="00C35868"/>
    <w:rsid w:val="00C35AFC"/>
    <w:rsid w:val="00C35FB8"/>
    <w:rsid w:val="00C36891"/>
    <w:rsid w:val="00C374AC"/>
    <w:rsid w:val="00C4043A"/>
    <w:rsid w:val="00C40838"/>
    <w:rsid w:val="00C40A2F"/>
    <w:rsid w:val="00C41F56"/>
    <w:rsid w:val="00C42EE7"/>
    <w:rsid w:val="00C43F86"/>
    <w:rsid w:val="00C443F2"/>
    <w:rsid w:val="00C4481E"/>
    <w:rsid w:val="00C44928"/>
    <w:rsid w:val="00C44ADC"/>
    <w:rsid w:val="00C44C24"/>
    <w:rsid w:val="00C45483"/>
    <w:rsid w:val="00C45C99"/>
    <w:rsid w:val="00C45FF5"/>
    <w:rsid w:val="00C46A61"/>
    <w:rsid w:val="00C47478"/>
    <w:rsid w:val="00C506BE"/>
    <w:rsid w:val="00C50C09"/>
    <w:rsid w:val="00C518FE"/>
    <w:rsid w:val="00C5240B"/>
    <w:rsid w:val="00C528C4"/>
    <w:rsid w:val="00C52E63"/>
    <w:rsid w:val="00C53A70"/>
    <w:rsid w:val="00C55A36"/>
    <w:rsid w:val="00C55CF4"/>
    <w:rsid w:val="00C5612C"/>
    <w:rsid w:val="00C562B7"/>
    <w:rsid w:val="00C56B08"/>
    <w:rsid w:val="00C56B56"/>
    <w:rsid w:val="00C570A5"/>
    <w:rsid w:val="00C5798D"/>
    <w:rsid w:val="00C6047C"/>
    <w:rsid w:val="00C606E3"/>
    <w:rsid w:val="00C61010"/>
    <w:rsid w:val="00C61B79"/>
    <w:rsid w:val="00C62D98"/>
    <w:rsid w:val="00C63E82"/>
    <w:rsid w:val="00C647B8"/>
    <w:rsid w:val="00C666F5"/>
    <w:rsid w:val="00C66725"/>
    <w:rsid w:val="00C6690B"/>
    <w:rsid w:val="00C66A81"/>
    <w:rsid w:val="00C7033A"/>
    <w:rsid w:val="00C70513"/>
    <w:rsid w:val="00C705D0"/>
    <w:rsid w:val="00C7104D"/>
    <w:rsid w:val="00C7148B"/>
    <w:rsid w:val="00C728D9"/>
    <w:rsid w:val="00C736F0"/>
    <w:rsid w:val="00C73706"/>
    <w:rsid w:val="00C7397C"/>
    <w:rsid w:val="00C739E2"/>
    <w:rsid w:val="00C74016"/>
    <w:rsid w:val="00C741CF"/>
    <w:rsid w:val="00C749AB"/>
    <w:rsid w:val="00C751AC"/>
    <w:rsid w:val="00C75335"/>
    <w:rsid w:val="00C75827"/>
    <w:rsid w:val="00C75997"/>
    <w:rsid w:val="00C75ADF"/>
    <w:rsid w:val="00C75BA8"/>
    <w:rsid w:val="00C766E8"/>
    <w:rsid w:val="00C76B14"/>
    <w:rsid w:val="00C80588"/>
    <w:rsid w:val="00C81673"/>
    <w:rsid w:val="00C825E0"/>
    <w:rsid w:val="00C837F3"/>
    <w:rsid w:val="00C83AFD"/>
    <w:rsid w:val="00C84067"/>
    <w:rsid w:val="00C84794"/>
    <w:rsid w:val="00C8545F"/>
    <w:rsid w:val="00C85FB8"/>
    <w:rsid w:val="00C868E6"/>
    <w:rsid w:val="00C87117"/>
    <w:rsid w:val="00C877E4"/>
    <w:rsid w:val="00C87B87"/>
    <w:rsid w:val="00C900CE"/>
    <w:rsid w:val="00C905DF"/>
    <w:rsid w:val="00C90C21"/>
    <w:rsid w:val="00C92281"/>
    <w:rsid w:val="00C9291A"/>
    <w:rsid w:val="00C92F97"/>
    <w:rsid w:val="00C93A7C"/>
    <w:rsid w:val="00C93BD5"/>
    <w:rsid w:val="00C94554"/>
    <w:rsid w:val="00C95289"/>
    <w:rsid w:val="00C965EF"/>
    <w:rsid w:val="00C967E3"/>
    <w:rsid w:val="00C96DAF"/>
    <w:rsid w:val="00C96F81"/>
    <w:rsid w:val="00C9771A"/>
    <w:rsid w:val="00CA0549"/>
    <w:rsid w:val="00CA1485"/>
    <w:rsid w:val="00CA160C"/>
    <w:rsid w:val="00CA18E1"/>
    <w:rsid w:val="00CA4430"/>
    <w:rsid w:val="00CA452A"/>
    <w:rsid w:val="00CA462A"/>
    <w:rsid w:val="00CA507F"/>
    <w:rsid w:val="00CA53E8"/>
    <w:rsid w:val="00CA5C23"/>
    <w:rsid w:val="00CA6F9A"/>
    <w:rsid w:val="00CA7BD9"/>
    <w:rsid w:val="00CB0069"/>
    <w:rsid w:val="00CB07C2"/>
    <w:rsid w:val="00CB0E04"/>
    <w:rsid w:val="00CB0F3C"/>
    <w:rsid w:val="00CB1CC3"/>
    <w:rsid w:val="00CB2D68"/>
    <w:rsid w:val="00CB35CC"/>
    <w:rsid w:val="00CB4298"/>
    <w:rsid w:val="00CB5773"/>
    <w:rsid w:val="00CB5774"/>
    <w:rsid w:val="00CB5D27"/>
    <w:rsid w:val="00CB64E9"/>
    <w:rsid w:val="00CB76E5"/>
    <w:rsid w:val="00CB7E5E"/>
    <w:rsid w:val="00CC0B7F"/>
    <w:rsid w:val="00CC1063"/>
    <w:rsid w:val="00CC1B03"/>
    <w:rsid w:val="00CC207D"/>
    <w:rsid w:val="00CC2469"/>
    <w:rsid w:val="00CC2E14"/>
    <w:rsid w:val="00CC335C"/>
    <w:rsid w:val="00CC434C"/>
    <w:rsid w:val="00CC48C7"/>
    <w:rsid w:val="00CC4EA9"/>
    <w:rsid w:val="00CC52EE"/>
    <w:rsid w:val="00CC5708"/>
    <w:rsid w:val="00CC599A"/>
    <w:rsid w:val="00CC5AC0"/>
    <w:rsid w:val="00CC6A36"/>
    <w:rsid w:val="00CC6B34"/>
    <w:rsid w:val="00CC6EAC"/>
    <w:rsid w:val="00CC71A5"/>
    <w:rsid w:val="00CC73F3"/>
    <w:rsid w:val="00CC75C4"/>
    <w:rsid w:val="00CC78C6"/>
    <w:rsid w:val="00CC7C36"/>
    <w:rsid w:val="00CD1A50"/>
    <w:rsid w:val="00CD21D6"/>
    <w:rsid w:val="00CD3B02"/>
    <w:rsid w:val="00CD3CBF"/>
    <w:rsid w:val="00CD3CDC"/>
    <w:rsid w:val="00CD40B2"/>
    <w:rsid w:val="00CD4E8E"/>
    <w:rsid w:val="00CD59C6"/>
    <w:rsid w:val="00CD5C8B"/>
    <w:rsid w:val="00CD5CB0"/>
    <w:rsid w:val="00CD701E"/>
    <w:rsid w:val="00CD7C04"/>
    <w:rsid w:val="00CE049D"/>
    <w:rsid w:val="00CE191F"/>
    <w:rsid w:val="00CE19D0"/>
    <w:rsid w:val="00CE1B81"/>
    <w:rsid w:val="00CE1E45"/>
    <w:rsid w:val="00CE1F1E"/>
    <w:rsid w:val="00CE2F01"/>
    <w:rsid w:val="00CE37CD"/>
    <w:rsid w:val="00CE39E8"/>
    <w:rsid w:val="00CE44DD"/>
    <w:rsid w:val="00CE57F6"/>
    <w:rsid w:val="00CE6030"/>
    <w:rsid w:val="00CE6E22"/>
    <w:rsid w:val="00CE75CE"/>
    <w:rsid w:val="00CE7B88"/>
    <w:rsid w:val="00CF0D7C"/>
    <w:rsid w:val="00CF11D8"/>
    <w:rsid w:val="00CF15D6"/>
    <w:rsid w:val="00CF168D"/>
    <w:rsid w:val="00CF1DA4"/>
    <w:rsid w:val="00CF25EF"/>
    <w:rsid w:val="00CF3012"/>
    <w:rsid w:val="00CF32E9"/>
    <w:rsid w:val="00CF497E"/>
    <w:rsid w:val="00CF5B5F"/>
    <w:rsid w:val="00CF62E1"/>
    <w:rsid w:val="00CF6326"/>
    <w:rsid w:val="00CF71D2"/>
    <w:rsid w:val="00D00F4C"/>
    <w:rsid w:val="00D01322"/>
    <w:rsid w:val="00D016E1"/>
    <w:rsid w:val="00D01D16"/>
    <w:rsid w:val="00D01E55"/>
    <w:rsid w:val="00D01EF5"/>
    <w:rsid w:val="00D030BA"/>
    <w:rsid w:val="00D03999"/>
    <w:rsid w:val="00D03A94"/>
    <w:rsid w:val="00D03C18"/>
    <w:rsid w:val="00D03DBF"/>
    <w:rsid w:val="00D04C09"/>
    <w:rsid w:val="00D05D0D"/>
    <w:rsid w:val="00D0628F"/>
    <w:rsid w:val="00D06988"/>
    <w:rsid w:val="00D06B2F"/>
    <w:rsid w:val="00D06EA7"/>
    <w:rsid w:val="00D07315"/>
    <w:rsid w:val="00D10BD6"/>
    <w:rsid w:val="00D122F9"/>
    <w:rsid w:val="00D150CF"/>
    <w:rsid w:val="00D15831"/>
    <w:rsid w:val="00D16A89"/>
    <w:rsid w:val="00D16B31"/>
    <w:rsid w:val="00D171C4"/>
    <w:rsid w:val="00D17D92"/>
    <w:rsid w:val="00D21268"/>
    <w:rsid w:val="00D21DC9"/>
    <w:rsid w:val="00D23061"/>
    <w:rsid w:val="00D24227"/>
    <w:rsid w:val="00D253D3"/>
    <w:rsid w:val="00D257D6"/>
    <w:rsid w:val="00D2612B"/>
    <w:rsid w:val="00D26489"/>
    <w:rsid w:val="00D26E40"/>
    <w:rsid w:val="00D27618"/>
    <w:rsid w:val="00D302CF"/>
    <w:rsid w:val="00D30BE1"/>
    <w:rsid w:val="00D30CB6"/>
    <w:rsid w:val="00D30E31"/>
    <w:rsid w:val="00D316B1"/>
    <w:rsid w:val="00D31DAA"/>
    <w:rsid w:val="00D31E9B"/>
    <w:rsid w:val="00D329A3"/>
    <w:rsid w:val="00D33721"/>
    <w:rsid w:val="00D33E79"/>
    <w:rsid w:val="00D400D7"/>
    <w:rsid w:val="00D4077E"/>
    <w:rsid w:val="00D40AC8"/>
    <w:rsid w:val="00D40AD9"/>
    <w:rsid w:val="00D40EE9"/>
    <w:rsid w:val="00D414FC"/>
    <w:rsid w:val="00D41F1B"/>
    <w:rsid w:val="00D43CF0"/>
    <w:rsid w:val="00D43E7A"/>
    <w:rsid w:val="00D4417C"/>
    <w:rsid w:val="00D449E1"/>
    <w:rsid w:val="00D4687B"/>
    <w:rsid w:val="00D46F6A"/>
    <w:rsid w:val="00D47C12"/>
    <w:rsid w:val="00D50851"/>
    <w:rsid w:val="00D50C57"/>
    <w:rsid w:val="00D51F3C"/>
    <w:rsid w:val="00D523AC"/>
    <w:rsid w:val="00D52824"/>
    <w:rsid w:val="00D52CC6"/>
    <w:rsid w:val="00D546E7"/>
    <w:rsid w:val="00D54BD6"/>
    <w:rsid w:val="00D54F82"/>
    <w:rsid w:val="00D55614"/>
    <w:rsid w:val="00D559EF"/>
    <w:rsid w:val="00D561C0"/>
    <w:rsid w:val="00D56664"/>
    <w:rsid w:val="00D57136"/>
    <w:rsid w:val="00D57671"/>
    <w:rsid w:val="00D6032D"/>
    <w:rsid w:val="00D6144C"/>
    <w:rsid w:val="00D62079"/>
    <w:rsid w:val="00D6255E"/>
    <w:rsid w:val="00D64374"/>
    <w:rsid w:val="00D64D50"/>
    <w:rsid w:val="00D64F1D"/>
    <w:rsid w:val="00D64FF8"/>
    <w:rsid w:val="00D65011"/>
    <w:rsid w:val="00D652B3"/>
    <w:rsid w:val="00D65A8C"/>
    <w:rsid w:val="00D67AE4"/>
    <w:rsid w:val="00D70091"/>
    <w:rsid w:val="00D703C5"/>
    <w:rsid w:val="00D704B6"/>
    <w:rsid w:val="00D70D0F"/>
    <w:rsid w:val="00D7208B"/>
    <w:rsid w:val="00D728A6"/>
    <w:rsid w:val="00D7339B"/>
    <w:rsid w:val="00D7462A"/>
    <w:rsid w:val="00D74C11"/>
    <w:rsid w:val="00D74F6D"/>
    <w:rsid w:val="00D7518C"/>
    <w:rsid w:val="00D7534E"/>
    <w:rsid w:val="00D75D90"/>
    <w:rsid w:val="00D75F37"/>
    <w:rsid w:val="00D76A60"/>
    <w:rsid w:val="00D76B62"/>
    <w:rsid w:val="00D774EF"/>
    <w:rsid w:val="00D77C4A"/>
    <w:rsid w:val="00D77D5D"/>
    <w:rsid w:val="00D81D44"/>
    <w:rsid w:val="00D82654"/>
    <w:rsid w:val="00D85009"/>
    <w:rsid w:val="00D855B6"/>
    <w:rsid w:val="00D8589F"/>
    <w:rsid w:val="00D85B9D"/>
    <w:rsid w:val="00D86178"/>
    <w:rsid w:val="00D863E0"/>
    <w:rsid w:val="00D863FF"/>
    <w:rsid w:val="00D87F66"/>
    <w:rsid w:val="00D90422"/>
    <w:rsid w:val="00D904CB"/>
    <w:rsid w:val="00D933EC"/>
    <w:rsid w:val="00D93724"/>
    <w:rsid w:val="00D9390A"/>
    <w:rsid w:val="00D939AD"/>
    <w:rsid w:val="00D93CF6"/>
    <w:rsid w:val="00D945CB"/>
    <w:rsid w:val="00D9530D"/>
    <w:rsid w:val="00D954AE"/>
    <w:rsid w:val="00D95615"/>
    <w:rsid w:val="00D956C0"/>
    <w:rsid w:val="00D95724"/>
    <w:rsid w:val="00D96180"/>
    <w:rsid w:val="00D9688C"/>
    <w:rsid w:val="00D977A1"/>
    <w:rsid w:val="00D9795A"/>
    <w:rsid w:val="00DA040D"/>
    <w:rsid w:val="00DA177E"/>
    <w:rsid w:val="00DA1FBA"/>
    <w:rsid w:val="00DA3876"/>
    <w:rsid w:val="00DA3BA1"/>
    <w:rsid w:val="00DA3BA6"/>
    <w:rsid w:val="00DA3C43"/>
    <w:rsid w:val="00DA3D5A"/>
    <w:rsid w:val="00DA4D9D"/>
    <w:rsid w:val="00DA5B0C"/>
    <w:rsid w:val="00DA6176"/>
    <w:rsid w:val="00DA6880"/>
    <w:rsid w:val="00DA6948"/>
    <w:rsid w:val="00DB029D"/>
    <w:rsid w:val="00DB0586"/>
    <w:rsid w:val="00DB0A33"/>
    <w:rsid w:val="00DB0A56"/>
    <w:rsid w:val="00DB156D"/>
    <w:rsid w:val="00DB1775"/>
    <w:rsid w:val="00DB18D4"/>
    <w:rsid w:val="00DB1E3C"/>
    <w:rsid w:val="00DB204F"/>
    <w:rsid w:val="00DB39E7"/>
    <w:rsid w:val="00DB4DB2"/>
    <w:rsid w:val="00DB4E36"/>
    <w:rsid w:val="00DB5090"/>
    <w:rsid w:val="00DB55AF"/>
    <w:rsid w:val="00DB56EF"/>
    <w:rsid w:val="00DB634C"/>
    <w:rsid w:val="00DB635D"/>
    <w:rsid w:val="00DB6582"/>
    <w:rsid w:val="00DB6723"/>
    <w:rsid w:val="00DB6A88"/>
    <w:rsid w:val="00DB6AC2"/>
    <w:rsid w:val="00DB7402"/>
    <w:rsid w:val="00DC083C"/>
    <w:rsid w:val="00DC0C2D"/>
    <w:rsid w:val="00DC0CD9"/>
    <w:rsid w:val="00DC0D12"/>
    <w:rsid w:val="00DC22B1"/>
    <w:rsid w:val="00DC2766"/>
    <w:rsid w:val="00DC2801"/>
    <w:rsid w:val="00DC4978"/>
    <w:rsid w:val="00DC618A"/>
    <w:rsid w:val="00DC6535"/>
    <w:rsid w:val="00DC67A9"/>
    <w:rsid w:val="00DC69CA"/>
    <w:rsid w:val="00DC734C"/>
    <w:rsid w:val="00DC7F53"/>
    <w:rsid w:val="00DD077D"/>
    <w:rsid w:val="00DD0A20"/>
    <w:rsid w:val="00DD0A9F"/>
    <w:rsid w:val="00DD0B39"/>
    <w:rsid w:val="00DD0B53"/>
    <w:rsid w:val="00DD0DE4"/>
    <w:rsid w:val="00DD10F9"/>
    <w:rsid w:val="00DD1FBE"/>
    <w:rsid w:val="00DD2315"/>
    <w:rsid w:val="00DD2656"/>
    <w:rsid w:val="00DD2BDE"/>
    <w:rsid w:val="00DD343B"/>
    <w:rsid w:val="00DD3BD0"/>
    <w:rsid w:val="00DD3C8D"/>
    <w:rsid w:val="00DD4CF0"/>
    <w:rsid w:val="00DD4F5D"/>
    <w:rsid w:val="00DD506D"/>
    <w:rsid w:val="00DD60F4"/>
    <w:rsid w:val="00DD6718"/>
    <w:rsid w:val="00DD6923"/>
    <w:rsid w:val="00DD70D5"/>
    <w:rsid w:val="00DD72DF"/>
    <w:rsid w:val="00DE0375"/>
    <w:rsid w:val="00DE0B0B"/>
    <w:rsid w:val="00DE0DA5"/>
    <w:rsid w:val="00DE2029"/>
    <w:rsid w:val="00DE287B"/>
    <w:rsid w:val="00DE29B0"/>
    <w:rsid w:val="00DE2ACB"/>
    <w:rsid w:val="00DE3C21"/>
    <w:rsid w:val="00DE3D1B"/>
    <w:rsid w:val="00DE49E2"/>
    <w:rsid w:val="00DE57DF"/>
    <w:rsid w:val="00DE5B07"/>
    <w:rsid w:val="00DE63DB"/>
    <w:rsid w:val="00DE7302"/>
    <w:rsid w:val="00DE74B9"/>
    <w:rsid w:val="00DE7F87"/>
    <w:rsid w:val="00DF00A2"/>
    <w:rsid w:val="00DF03E8"/>
    <w:rsid w:val="00DF0ADC"/>
    <w:rsid w:val="00DF0C6C"/>
    <w:rsid w:val="00DF1AD4"/>
    <w:rsid w:val="00DF24E9"/>
    <w:rsid w:val="00DF3236"/>
    <w:rsid w:val="00DF3744"/>
    <w:rsid w:val="00DF3747"/>
    <w:rsid w:val="00DF3D93"/>
    <w:rsid w:val="00DF46E7"/>
    <w:rsid w:val="00DF5730"/>
    <w:rsid w:val="00DF5EFF"/>
    <w:rsid w:val="00DF73C1"/>
    <w:rsid w:val="00DF7919"/>
    <w:rsid w:val="00DF7B1A"/>
    <w:rsid w:val="00E0003E"/>
    <w:rsid w:val="00E0040F"/>
    <w:rsid w:val="00E02484"/>
    <w:rsid w:val="00E024D5"/>
    <w:rsid w:val="00E027AC"/>
    <w:rsid w:val="00E04314"/>
    <w:rsid w:val="00E044D9"/>
    <w:rsid w:val="00E0514E"/>
    <w:rsid w:val="00E0546B"/>
    <w:rsid w:val="00E05DCF"/>
    <w:rsid w:val="00E05FA7"/>
    <w:rsid w:val="00E0738F"/>
    <w:rsid w:val="00E079E1"/>
    <w:rsid w:val="00E10305"/>
    <w:rsid w:val="00E10782"/>
    <w:rsid w:val="00E118A9"/>
    <w:rsid w:val="00E12160"/>
    <w:rsid w:val="00E1224E"/>
    <w:rsid w:val="00E13111"/>
    <w:rsid w:val="00E152B9"/>
    <w:rsid w:val="00E156D5"/>
    <w:rsid w:val="00E15A17"/>
    <w:rsid w:val="00E16035"/>
    <w:rsid w:val="00E16748"/>
    <w:rsid w:val="00E17709"/>
    <w:rsid w:val="00E17934"/>
    <w:rsid w:val="00E20DEA"/>
    <w:rsid w:val="00E21FA8"/>
    <w:rsid w:val="00E23E46"/>
    <w:rsid w:val="00E24617"/>
    <w:rsid w:val="00E24F88"/>
    <w:rsid w:val="00E25EF2"/>
    <w:rsid w:val="00E26071"/>
    <w:rsid w:val="00E265A9"/>
    <w:rsid w:val="00E269EF"/>
    <w:rsid w:val="00E26A3E"/>
    <w:rsid w:val="00E27218"/>
    <w:rsid w:val="00E2721C"/>
    <w:rsid w:val="00E2727B"/>
    <w:rsid w:val="00E27BE0"/>
    <w:rsid w:val="00E27E4C"/>
    <w:rsid w:val="00E3141E"/>
    <w:rsid w:val="00E314CA"/>
    <w:rsid w:val="00E3193F"/>
    <w:rsid w:val="00E321FF"/>
    <w:rsid w:val="00E332FA"/>
    <w:rsid w:val="00E340BC"/>
    <w:rsid w:val="00E35F90"/>
    <w:rsid w:val="00E36B6E"/>
    <w:rsid w:val="00E40F68"/>
    <w:rsid w:val="00E42198"/>
    <w:rsid w:val="00E424B1"/>
    <w:rsid w:val="00E42DA5"/>
    <w:rsid w:val="00E43FBD"/>
    <w:rsid w:val="00E45183"/>
    <w:rsid w:val="00E45A6F"/>
    <w:rsid w:val="00E45D06"/>
    <w:rsid w:val="00E45F0B"/>
    <w:rsid w:val="00E4642D"/>
    <w:rsid w:val="00E475FD"/>
    <w:rsid w:val="00E50C38"/>
    <w:rsid w:val="00E51C31"/>
    <w:rsid w:val="00E5292A"/>
    <w:rsid w:val="00E5403D"/>
    <w:rsid w:val="00E5426F"/>
    <w:rsid w:val="00E54376"/>
    <w:rsid w:val="00E54636"/>
    <w:rsid w:val="00E55031"/>
    <w:rsid w:val="00E56649"/>
    <w:rsid w:val="00E56F57"/>
    <w:rsid w:val="00E576F4"/>
    <w:rsid w:val="00E57987"/>
    <w:rsid w:val="00E60011"/>
    <w:rsid w:val="00E60D07"/>
    <w:rsid w:val="00E60DAE"/>
    <w:rsid w:val="00E6113D"/>
    <w:rsid w:val="00E6144E"/>
    <w:rsid w:val="00E61C10"/>
    <w:rsid w:val="00E62074"/>
    <w:rsid w:val="00E62642"/>
    <w:rsid w:val="00E638E1"/>
    <w:rsid w:val="00E64B30"/>
    <w:rsid w:val="00E664E9"/>
    <w:rsid w:val="00E66980"/>
    <w:rsid w:val="00E66A3F"/>
    <w:rsid w:val="00E66D9A"/>
    <w:rsid w:val="00E679D4"/>
    <w:rsid w:val="00E67E65"/>
    <w:rsid w:val="00E7300C"/>
    <w:rsid w:val="00E7357C"/>
    <w:rsid w:val="00E73941"/>
    <w:rsid w:val="00E73C11"/>
    <w:rsid w:val="00E74621"/>
    <w:rsid w:val="00E7654C"/>
    <w:rsid w:val="00E766B5"/>
    <w:rsid w:val="00E776D4"/>
    <w:rsid w:val="00E806A3"/>
    <w:rsid w:val="00E806CD"/>
    <w:rsid w:val="00E807D2"/>
    <w:rsid w:val="00E80BF3"/>
    <w:rsid w:val="00E82A5B"/>
    <w:rsid w:val="00E82C9D"/>
    <w:rsid w:val="00E83619"/>
    <w:rsid w:val="00E864A8"/>
    <w:rsid w:val="00E87A1B"/>
    <w:rsid w:val="00E90133"/>
    <w:rsid w:val="00E905E7"/>
    <w:rsid w:val="00E905F5"/>
    <w:rsid w:val="00E90A63"/>
    <w:rsid w:val="00E91BAD"/>
    <w:rsid w:val="00E91EE3"/>
    <w:rsid w:val="00E92017"/>
    <w:rsid w:val="00E928D2"/>
    <w:rsid w:val="00E9330A"/>
    <w:rsid w:val="00E933F4"/>
    <w:rsid w:val="00E93F36"/>
    <w:rsid w:val="00E94068"/>
    <w:rsid w:val="00E94875"/>
    <w:rsid w:val="00E97C76"/>
    <w:rsid w:val="00E97EF6"/>
    <w:rsid w:val="00EA0103"/>
    <w:rsid w:val="00EA02A5"/>
    <w:rsid w:val="00EA0520"/>
    <w:rsid w:val="00EA1210"/>
    <w:rsid w:val="00EA163D"/>
    <w:rsid w:val="00EA1E81"/>
    <w:rsid w:val="00EA2C52"/>
    <w:rsid w:val="00EA35A3"/>
    <w:rsid w:val="00EA3A3D"/>
    <w:rsid w:val="00EA3C40"/>
    <w:rsid w:val="00EA493B"/>
    <w:rsid w:val="00EA4C8E"/>
    <w:rsid w:val="00EA531C"/>
    <w:rsid w:val="00EA5EE1"/>
    <w:rsid w:val="00EA65F0"/>
    <w:rsid w:val="00EA7958"/>
    <w:rsid w:val="00EB00E8"/>
    <w:rsid w:val="00EB0DCF"/>
    <w:rsid w:val="00EB0ECD"/>
    <w:rsid w:val="00EB104F"/>
    <w:rsid w:val="00EB13BF"/>
    <w:rsid w:val="00EB1688"/>
    <w:rsid w:val="00EB29D2"/>
    <w:rsid w:val="00EB3EC8"/>
    <w:rsid w:val="00EB54A2"/>
    <w:rsid w:val="00EB566D"/>
    <w:rsid w:val="00EB5F05"/>
    <w:rsid w:val="00EC00EC"/>
    <w:rsid w:val="00EC0618"/>
    <w:rsid w:val="00EC0B77"/>
    <w:rsid w:val="00EC2054"/>
    <w:rsid w:val="00EC370C"/>
    <w:rsid w:val="00EC3E34"/>
    <w:rsid w:val="00EC4134"/>
    <w:rsid w:val="00EC4382"/>
    <w:rsid w:val="00EC445E"/>
    <w:rsid w:val="00EC46F8"/>
    <w:rsid w:val="00EC65A7"/>
    <w:rsid w:val="00EC6B19"/>
    <w:rsid w:val="00EC6D29"/>
    <w:rsid w:val="00EC6D4F"/>
    <w:rsid w:val="00EC7075"/>
    <w:rsid w:val="00EC7551"/>
    <w:rsid w:val="00ED0166"/>
    <w:rsid w:val="00ED052B"/>
    <w:rsid w:val="00ED0C01"/>
    <w:rsid w:val="00ED0ECF"/>
    <w:rsid w:val="00ED1482"/>
    <w:rsid w:val="00ED2523"/>
    <w:rsid w:val="00ED2E47"/>
    <w:rsid w:val="00ED2E8E"/>
    <w:rsid w:val="00ED328E"/>
    <w:rsid w:val="00ED344D"/>
    <w:rsid w:val="00ED43F9"/>
    <w:rsid w:val="00ED46A3"/>
    <w:rsid w:val="00ED4964"/>
    <w:rsid w:val="00ED5377"/>
    <w:rsid w:val="00ED5666"/>
    <w:rsid w:val="00ED5827"/>
    <w:rsid w:val="00ED74CC"/>
    <w:rsid w:val="00EE000B"/>
    <w:rsid w:val="00EE01F7"/>
    <w:rsid w:val="00EE0700"/>
    <w:rsid w:val="00EE0F56"/>
    <w:rsid w:val="00EE1FCD"/>
    <w:rsid w:val="00EE20B2"/>
    <w:rsid w:val="00EE22C2"/>
    <w:rsid w:val="00EE2B1A"/>
    <w:rsid w:val="00EE3673"/>
    <w:rsid w:val="00EE3848"/>
    <w:rsid w:val="00EE3B6D"/>
    <w:rsid w:val="00EE4206"/>
    <w:rsid w:val="00EE4DD5"/>
    <w:rsid w:val="00EE5DBB"/>
    <w:rsid w:val="00EE64D4"/>
    <w:rsid w:val="00EE6B31"/>
    <w:rsid w:val="00EE6BF2"/>
    <w:rsid w:val="00EF01FC"/>
    <w:rsid w:val="00EF2124"/>
    <w:rsid w:val="00EF2412"/>
    <w:rsid w:val="00EF27D2"/>
    <w:rsid w:val="00EF2884"/>
    <w:rsid w:val="00EF2C1D"/>
    <w:rsid w:val="00EF3700"/>
    <w:rsid w:val="00EF3BF5"/>
    <w:rsid w:val="00EF3E52"/>
    <w:rsid w:val="00EF405D"/>
    <w:rsid w:val="00EF4703"/>
    <w:rsid w:val="00EF4EBD"/>
    <w:rsid w:val="00EF52E2"/>
    <w:rsid w:val="00EF6D8A"/>
    <w:rsid w:val="00EF78EB"/>
    <w:rsid w:val="00F006BB"/>
    <w:rsid w:val="00F017BB"/>
    <w:rsid w:val="00F01840"/>
    <w:rsid w:val="00F01BA9"/>
    <w:rsid w:val="00F02C00"/>
    <w:rsid w:val="00F04CB0"/>
    <w:rsid w:val="00F0676D"/>
    <w:rsid w:val="00F069B2"/>
    <w:rsid w:val="00F07628"/>
    <w:rsid w:val="00F10104"/>
    <w:rsid w:val="00F10E11"/>
    <w:rsid w:val="00F11213"/>
    <w:rsid w:val="00F115D6"/>
    <w:rsid w:val="00F11BFA"/>
    <w:rsid w:val="00F11FE3"/>
    <w:rsid w:val="00F13709"/>
    <w:rsid w:val="00F13A3F"/>
    <w:rsid w:val="00F13EEF"/>
    <w:rsid w:val="00F14B26"/>
    <w:rsid w:val="00F15101"/>
    <w:rsid w:val="00F16CC6"/>
    <w:rsid w:val="00F17945"/>
    <w:rsid w:val="00F17A5E"/>
    <w:rsid w:val="00F17B12"/>
    <w:rsid w:val="00F17D62"/>
    <w:rsid w:val="00F2075E"/>
    <w:rsid w:val="00F220E7"/>
    <w:rsid w:val="00F235B3"/>
    <w:rsid w:val="00F237FB"/>
    <w:rsid w:val="00F238F5"/>
    <w:rsid w:val="00F23F10"/>
    <w:rsid w:val="00F24065"/>
    <w:rsid w:val="00F2427E"/>
    <w:rsid w:val="00F26136"/>
    <w:rsid w:val="00F261F0"/>
    <w:rsid w:val="00F27521"/>
    <w:rsid w:val="00F3093A"/>
    <w:rsid w:val="00F312F6"/>
    <w:rsid w:val="00F31B45"/>
    <w:rsid w:val="00F3335E"/>
    <w:rsid w:val="00F336AC"/>
    <w:rsid w:val="00F3477B"/>
    <w:rsid w:val="00F3514D"/>
    <w:rsid w:val="00F36A38"/>
    <w:rsid w:val="00F36DF2"/>
    <w:rsid w:val="00F372F5"/>
    <w:rsid w:val="00F37314"/>
    <w:rsid w:val="00F377BC"/>
    <w:rsid w:val="00F4002D"/>
    <w:rsid w:val="00F400C7"/>
    <w:rsid w:val="00F40581"/>
    <w:rsid w:val="00F412F7"/>
    <w:rsid w:val="00F41475"/>
    <w:rsid w:val="00F416F4"/>
    <w:rsid w:val="00F417A1"/>
    <w:rsid w:val="00F418CF"/>
    <w:rsid w:val="00F43037"/>
    <w:rsid w:val="00F431F4"/>
    <w:rsid w:val="00F4326C"/>
    <w:rsid w:val="00F4361E"/>
    <w:rsid w:val="00F43F00"/>
    <w:rsid w:val="00F4675D"/>
    <w:rsid w:val="00F46B6F"/>
    <w:rsid w:val="00F470A7"/>
    <w:rsid w:val="00F47309"/>
    <w:rsid w:val="00F47EB7"/>
    <w:rsid w:val="00F50FCE"/>
    <w:rsid w:val="00F52FCA"/>
    <w:rsid w:val="00F53A27"/>
    <w:rsid w:val="00F542FA"/>
    <w:rsid w:val="00F548A4"/>
    <w:rsid w:val="00F54923"/>
    <w:rsid w:val="00F54A42"/>
    <w:rsid w:val="00F54CD5"/>
    <w:rsid w:val="00F55B24"/>
    <w:rsid w:val="00F5651D"/>
    <w:rsid w:val="00F56920"/>
    <w:rsid w:val="00F56C7C"/>
    <w:rsid w:val="00F609AE"/>
    <w:rsid w:val="00F6169B"/>
    <w:rsid w:val="00F62181"/>
    <w:rsid w:val="00F62AC9"/>
    <w:rsid w:val="00F62FFD"/>
    <w:rsid w:val="00F63639"/>
    <w:rsid w:val="00F64406"/>
    <w:rsid w:val="00F65088"/>
    <w:rsid w:val="00F655FD"/>
    <w:rsid w:val="00F662AD"/>
    <w:rsid w:val="00F6657C"/>
    <w:rsid w:val="00F66D32"/>
    <w:rsid w:val="00F70CCE"/>
    <w:rsid w:val="00F71E56"/>
    <w:rsid w:val="00F72230"/>
    <w:rsid w:val="00F72364"/>
    <w:rsid w:val="00F72B9C"/>
    <w:rsid w:val="00F7384D"/>
    <w:rsid w:val="00F73C7B"/>
    <w:rsid w:val="00F73D49"/>
    <w:rsid w:val="00F74030"/>
    <w:rsid w:val="00F7475E"/>
    <w:rsid w:val="00F74E59"/>
    <w:rsid w:val="00F76D1A"/>
    <w:rsid w:val="00F76FA1"/>
    <w:rsid w:val="00F80481"/>
    <w:rsid w:val="00F809E2"/>
    <w:rsid w:val="00F80E7D"/>
    <w:rsid w:val="00F8104B"/>
    <w:rsid w:val="00F81164"/>
    <w:rsid w:val="00F8195E"/>
    <w:rsid w:val="00F81D4B"/>
    <w:rsid w:val="00F82A53"/>
    <w:rsid w:val="00F82BB5"/>
    <w:rsid w:val="00F834B0"/>
    <w:rsid w:val="00F835E7"/>
    <w:rsid w:val="00F84F5B"/>
    <w:rsid w:val="00F853BB"/>
    <w:rsid w:val="00F85757"/>
    <w:rsid w:val="00F86469"/>
    <w:rsid w:val="00F86B4E"/>
    <w:rsid w:val="00F87697"/>
    <w:rsid w:val="00F87A7E"/>
    <w:rsid w:val="00F87CB5"/>
    <w:rsid w:val="00F9000C"/>
    <w:rsid w:val="00F905D9"/>
    <w:rsid w:val="00F907DC"/>
    <w:rsid w:val="00F90C99"/>
    <w:rsid w:val="00F9112D"/>
    <w:rsid w:val="00F915C1"/>
    <w:rsid w:val="00F917AD"/>
    <w:rsid w:val="00F918AD"/>
    <w:rsid w:val="00F91E13"/>
    <w:rsid w:val="00F92109"/>
    <w:rsid w:val="00F92C16"/>
    <w:rsid w:val="00F92F98"/>
    <w:rsid w:val="00F93C4E"/>
    <w:rsid w:val="00F94C32"/>
    <w:rsid w:val="00F952F9"/>
    <w:rsid w:val="00F954FC"/>
    <w:rsid w:val="00F9553F"/>
    <w:rsid w:val="00F957F4"/>
    <w:rsid w:val="00F95EBB"/>
    <w:rsid w:val="00F96BBC"/>
    <w:rsid w:val="00F96DDF"/>
    <w:rsid w:val="00F9752D"/>
    <w:rsid w:val="00F9764E"/>
    <w:rsid w:val="00FA0475"/>
    <w:rsid w:val="00FA04C6"/>
    <w:rsid w:val="00FA1591"/>
    <w:rsid w:val="00FA1C12"/>
    <w:rsid w:val="00FA1CFB"/>
    <w:rsid w:val="00FA20CD"/>
    <w:rsid w:val="00FA2152"/>
    <w:rsid w:val="00FA259C"/>
    <w:rsid w:val="00FA443B"/>
    <w:rsid w:val="00FA446D"/>
    <w:rsid w:val="00FA4F3A"/>
    <w:rsid w:val="00FA51DF"/>
    <w:rsid w:val="00FA5754"/>
    <w:rsid w:val="00FA6068"/>
    <w:rsid w:val="00FA7CA7"/>
    <w:rsid w:val="00FB030A"/>
    <w:rsid w:val="00FB09F3"/>
    <w:rsid w:val="00FB13AB"/>
    <w:rsid w:val="00FB1806"/>
    <w:rsid w:val="00FB2A96"/>
    <w:rsid w:val="00FB4889"/>
    <w:rsid w:val="00FB48FF"/>
    <w:rsid w:val="00FB4B69"/>
    <w:rsid w:val="00FB4EF5"/>
    <w:rsid w:val="00FB612E"/>
    <w:rsid w:val="00FB6B8B"/>
    <w:rsid w:val="00FB6DF9"/>
    <w:rsid w:val="00FB6E35"/>
    <w:rsid w:val="00FB720F"/>
    <w:rsid w:val="00FB7EE4"/>
    <w:rsid w:val="00FC05BA"/>
    <w:rsid w:val="00FC0983"/>
    <w:rsid w:val="00FC10E6"/>
    <w:rsid w:val="00FC1944"/>
    <w:rsid w:val="00FC1B98"/>
    <w:rsid w:val="00FC1D71"/>
    <w:rsid w:val="00FC2D0A"/>
    <w:rsid w:val="00FC2D7B"/>
    <w:rsid w:val="00FC4D1C"/>
    <w:rsid w:val="00FC549C"/>
    <w:rsid w:val="00FC56E8"/>
    <w:rsid w:val="00FC6FAD"/>
    <w:rsid w:val="00FC7A82"/>
    <w:rsid w:val="00FC7F5E"/>
    <w:rsid w:val="00FD030B"/>
    <w:rsid w:val="00FD0362"/>
    <w:rsid w:val="00FD1424"/>
    <w:rsid w:val="00FD2F69"/>
    <w:rsid w:val="00FD3430"/>
    <w:rsid w:val="00FD35FA"/>
    <w:rsid w:val="00FD3F09"/>
    <w:rsid w:val="00FD56BC"/>
    <w:rsid w:val="00FD5742"/>
    <w:rsid w:val="00FD75CB"/>
    <w:rsid w:val="00FE1115"/>
    <w:rsid w:val="00FE1249"/>
    <w:rsid w:val="00FE14BF"/>
    <w:rsid w:val="00FE167B"/>
    <w:rsid w:val="00FE1DCB"/>
    <w:rsid w:val="00FE26CC"/>
    <w:rsid w:val="00FE37B3"/>
    <w:rsid w:val="00FE44FC"/>
    <w:rsid w:val="00FE45A9"/>
    <w:rsid w:val="00FE6A99"/>
    <w:rsid w:val="00FF1680"/>
    <w:rsid w:val="00FF24AD"/>
    <w:rsid w:val="00FF30E0"/>
    <w:rsid w:val="00FF37B5"/>
    <w:rsid w:val="00FF617E"/>
    <w:rsid w:val="00FF6E2B"/>
    <w:rsid w:val="00FF705C"/>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FAA28"/>
  <w15:docId w15:val="{C5AFB4BD-5493-4F6B-9BE9-80496D70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99"/>
    <w:pPr>
      <w:widowControl w:val="0"/>
    </w:pPr>
    <w:rPr>
      <w:sz w:val="24"/>
      <w:szCs w:val="24"/>
    </w:rPr>
  </w:style>
  <w:style w:type="paragraph" w:styleId="Heading1">
    <w:name w:val="heading 1"/>
    <w:basedOn w:val="Normal"/>
    <w:next w:val="Normal"/>
    <w:link w:val="Heading1Char"/>
    <w:uiPriority w:val="99"/>
    <w:qFormat/>
    <w:rsid w:val="0098661A"/>
    <w:pPr>
      <w:numPr>
        <w:numId w:val="46"/>
      </w:numPr>
      <w:spacing w:after="480"/>
      <w:outlineLvl w:val="0"/>
    </w:pPr>
    <w:rPr>
      <w:b/>
      <w:bCs/>
      <w:kern w:val="32"/>
      <w:sz w:val="26"/>
      <w:szCs w:val="32"/>
    </w:rPr>
  </w:style>
  <w:style w:type="paragraph" w:styleId="Heading2">
    <w:name w:val="heading 2"/>
    <w:basedOn w:val="Normal"/>
    <w:next w:val="Normal"/>
    <w:link w:val="Heading2Char"/>
    <w:uiPriority w:val="99"/>
    <w:qFormat/>
    <w:rsid w:val="00105E43"/>
    <w:pPr>
      <w:keepNext/>
      <w:widowControl/>
      <w:numPr>
        <w:ilvl w:val="1"/>
        <w:numId w:val="46"/>
      </w:numPr>
      <w:tabs>
        <w:tab w:val="left" w:pos="360"/>
      </w:tabs>
      <w:spacing w:before="560" w:after="320"/>
      <w:outlineLvl w:val="1"/>
    </w:pPr>
    <w:rPr>
      <w:b/>
      <w:bCs/>
      <w:i/>
      <w:iCs/>
      <w:szCs w:val="28"/>
    </w:rPr>
  </w:style>
  <w:style w:type="paragraph" w:styleId="Heading3">
    <w:name w:val="heading 3"/>
    <w:basedOn w:val="Normal"/>
    <w:next w:val="Normal"/>
    <w:link w:val="Heading3Char"/>
    <w:uiPriority w:val="99"/>
    <w:qFormat/>
    <w:rsid w:val="00432F58"/>
    <w:pPr>
      <w:numPr>
        <w:ilvl w:val="2"/>
        <w:numId w:val="46"/>
      </w:numPr>
      <w:outlineLvl w:val="2"/>
    </w:pPr>
    <w:rPr>
      <w:rFonts w:ascii="Cambria" w:hAnsi="Cambria"/>
      <w:b/>
      <w:bCs/>
      <w:sz w:val="26"/>
      <w:szCs w:val="26"/>
    </w:rPr>
  </w:style>
  <w:style w:type="paragraph" w:styleId="Heading4">
    <w:name w:val="heading 4"/>
    <w:basedOn w:val="Normal"/>
    <w:next w:val="Normal"/>
    <w:link w:val="Heading4Char"/>
    <w:uiPriority w:val="99"/>
    <w:qFormat/>
    <w:rsid w:val="00432F58"/>
    <w:pPr>
      <w:numPr>
        <w:ilvl w:val="3"/>
        <w:numId w:val="46"/>
      </w:numPr>
      <w:outlineLvl w:val="3"/>
    </w:pPr>
    <w:rPr>
      <w:rFonts w:ascii="Calibri" w:hAnsi="Calibri"/>
      <w:b/>
      <w:bCs/>
      <w:sz w:val="28"/>
      <w:szCs w:val="28"/>
    </w:rPr>
  </w:style>
  <w:style w:type="paragraph" w:styleId="Heading5">
    <w:name w:val="heading 5"/>
    <w:basedOn w:val="Normal"/>
    <w:next w:val="Normal"/>
    <w:link w:val="Heading5Char"/>
    <w:uiPriority w:val="99"/>
    <w:qFormat/>
    <w:rsid w:val="00432F58"/>
    <w:pPr>
      <w:keepNext/>
      <w:widowControl/>
      <w:numPr>
        <w:ilvl w:val="4"/>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Calibri" w:hAnsi="Calibri"/>
      <w:b/>
      <w:bCs/>
      <w:i/>
      <w:iCs/>
      <w:sz w:val="26"/>
      <w:szCs w:val="26"/>
    </w:rPr>
  </w:style>
  <w:style w:type="paragraph" w:styleId="Heading6">
    <w:name w:val="heading 6"/>
    <w:basedOn w:val="Normal"/>
    <w:next w:val="Normal"/>
    <w:link w:val="Heading6Char"/>
    <w:uiPriority w:val="99"/>
    <w:qFormat/>
    <w:locked/>
    <w:rsid w:val="0084006D"/>
    <w:pPr>
      <w:numPr>
        <w:ilvl w:val="5"/>
        <w:numId w:val="46"/>
      </w:numPr>
      <w:spacing w:before="240" w:after="60"/>
      <w:outlineLvl w:val="5"/>
    </w:pPr>
    <w:rPr>
      <w:b/>
      <w:bCs/>
      <w:sz w:val="22"/>
      <w:szCs w:val="22"/>
    </w:rPr>
  </w:style>
  <w:style w:type="paragraph" w:styleId="Heading7">
    <w:name w:val="heading 7"/>
    <w:basedOn w:val="Normal"/>
    <w:next w:val="Normal"/>
    <w:link w:val="Heading7Char"/>
    <w:semiHidden/>
    <w:unhideWhenUsed/>
    <w:qFormat/>
    <w:rsid w:val="00FE1115"/>
    <w:pPr>
      <w:keepNext/>
      <w:keepLines/>
      <w:numPr>
        <w:ilvl w:val="6"/>
        <w:numId w:val="4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E1115"/>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E1115"/>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61A"/>
    <w:rPr>
      <w:rFonts w:cs="Times New Roman"/>
      <w:b/>
      <w:bCs/>
      <w:kern w:val="32"/>
      <w:sz w:val="32"/>
      <w:szCs w:val="32"/>
    </w:rPr>
  </w:style>
  <w:style w:type="character" w:customStyle="1" w:styleId="Heading2Char">
    <w:name w:val="Heading 2 Char"/>
    <w:basedOn w:val="DefaultParagraphFont"/>
    <w:link w:val="Heading2"/>
    <w:uiPriority w:val="99"/>
    <w:locked/>
    <w:rsid w:val="00105E43"/>
    <w:rPr>
      <w:rFonts w:cs="Times New Roman"/>
      <w:b/>
      <w:bCs/>
      <w:i/>
      <w:iCs/>
      <w:sz w:val="28"/>
      <w:szCs w:val="28"/>
    </w:rPr>
  </w:style>
  <w:style w:type="character" w:customStyle="1" w:styleId="Heading3Char">
    <w:name w:val="Heading 3 Char"/>
    <w:basedOn w:val="DefaultParagraphFont"/>
    <w:link w:val="Heading3"/>
    <w:uiPriority w:val="99"/>
    <w:semiHidden/>
    <w:locked/>
    <w:rsid w:val="00F655FD"/>
    <w:rPr>
      <w:rFonts w:ascii="Cambria" w:hAnsi="Cambria" w:cs="Times New Roman"/>
      <w:b/>
      <w:sz w:val="26"/>
    </w:rPr>
  </w:style>
  <w:style w:type="character" w:customStyle="1" w:styleId="Heading4Char">
    <w:name w:val="Heading 4 Char"/>
    <w:basedOn w:val="DefaultParagraphFont"/>
    <w:link w:val="Heading4"/>
    <w:uiPriority w:val="99"/>
    <w:semiHidden/>
    <w:locked/>
    <w:rsid w:val="00F655FD"/>
    <w:rPr>
      <w:rFonts w:ascii="Calibri" w:hAnsi="Calibri" w:cs="Times New Roman"/>
      <w:b/>
      <w:sz w:val="28"/>
    </w:rPr>
  </w:style>
  <w:style w:type="character" w:customStyle="1" w:styleId="Heading5Char">
    <w:name w:val="Heading 5 Char"/>
    <w:basedOn w:val="DefaultParagraphFont"/>
    <w:link w:val="Heading5"/>
    <w:uiPriority w:val="99"/>
    <w:semiHidden/>
    <w:locked/>
    <w:rsid w:val="00F655FD"/>
    <w:rPr>
      <w:rFonts w:ascii="Calibri" w:hAnsi="Calibri" w:cs="Times New Roman"/>
      <w:b/>
      <w:i/>
      <w:sz w:val="26"/>
    </w:rPr>
  </w:style>
  <w:style w:type="character" w:customStyle="1" w:styleId="Heading6Char">
    <w:name w:val="Heading 6 Char"/>
    <w:basedOn w:val="DefaultParagraphFont"/>
    <w:link w:val="Heading6"/>
    <w:uiPriority w:val="99"/>
    <w:locked/>
    <w:rsid w:val="0084006D"/>
    <w:rPr>
      <w:rFonts w:cs="Times New Roman"/>
      <w:b/>
      <w:bCs/>
    </w:rPr>
  </w:style>
  <w:style w:type="paragraph" w:styleId="BalloonText">
    <w:name w:val="Balloon Text"/>
    <w:basedOn w:val="Normal"/>
    <w:link w:val="BalloonTextChar"/>
    <w:uiPriority w:val="99"/>
    <w:semiHidden/>
    <w:rsid w:val="00B200C4"/>
    <w:rPr>
      <w:rFonts w:ascii="Tahoma" w:hAnsi="Tahoma"/>
      <w:sz w:val="16"/>
      <w:szCs w:val="16"/>
    </w:rPr>
  </w:style>
  <w:style w:type="character" w:customStyle="1" w:styleId="BalloonTextChar">
    <w:name w:val="Balloon Text Char"/>
    <w:basedOn w:val="DefaultParagraphFont"/>
    <w:link w:val="BalloonText"/>
    <w:uiPriority w:val="99"/>
    <w:semiHidden/>
    <w:locked/>
    <w:rsid w:val="00B200C4"/>
    <w:rPr>
      <w:rFonts w:ascii="Tahoma" w:hAnsi="Tahoma" w:cs="Times New Roman"/>
      <w:sz w:val="16"/>
    </w:rPr>
  </w:style>
  <w:style w:type="character" w:styleId="FootnoteReference">
    <w:name w:val="footnote reference"/>
    <w:basedOn w:val="DefaultParagraphFont"/>
    <w:uiPriority w:val="99"/>
    <w:semiHidden/>
    <w:rsid w:val="00432F58"/>
    <w:rPr>
      <w:rFonts w:cs="Times New Roman"/>
    </w:rPr>
  </w:style>
  <w:style w:type="paragraph" w:styleId="Header">
    <w:name w:val="header"/>
    <w:basedOn w:val="Normal"/>
    <w:link w:val="HeaderChar"/>
    <w:uiPriority w:val="99"/>
    <w:rsid w:val="00432F58"/>
    <w:pPr>
      <w:tabs>
        <w:tab w:val="left" w:pos="0"/>
        <w:tab w:val="center" w:pos="4320"/>
        <w:tab w:val="right" w:pos="8640"/>
      </w:tabs>
    </w:pPr>
    <w:rPr>
      <w:rFonts w:ascii="Baskerville Old Face" w:hAnsi="Baskerville Old Face"/>
    </w:rPr>
  </w:style>
  <w:style w:type="character" w:customStyle="1" w:styleId="HeaderChar">
    <w:name w:val="Header Char"/>
    <w:basedOn w:val="DefaultParagraphFont"/>
    <w:link w:val="Header"/>
    <w:uiPriority w:val="99"/>
    <w:locked/>
    <w:rsid w:val="003F6129"/>
    <w:rPr>
      <w:rFonts w:ascii="Baskerville Old Face" w:hAnsi="Baskerville Old Face" w:cs="Times New Roman"/>
      <w:sz w:val="24"/>
    </w:rPr>
  </w:style>
  <w:style w:type="paragraph" w:styleId="Title">
    <w:name w:val="Title"/>
    <w:basedOn w:val="Normal"/>
    <w:link w:val="TitleChar"/>
    <w:uiPriority w:val="99"/>
    <w:qFormat/>
    <w:rsid w:val="00432F58"/>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655FD"/>
    <w:rPr>
      <w:rFonts w:ascii="Cambria" w:hAnsi="Cambria" w:cs="Times New Roman"/>
      <w:b/>
      <w:kern w:val="28"/>
      <w:sz w:val="32"/>
    </w:rPr>
  </w:style>
  <w:style w:type="paragraph" w:styleId="Footer">
    <w:name w:val="footer"/>
    <w:basedOn w:val="Normal"/>
    <w:link w:val="FooterChar"/>
    <w:uiPriority w:val="99"/>
    <w:rsid w:val="00432F58"/>
    <w:pPr>
      <w:tabs>
        <w:tab w:val="left" w:pos="0"/>
        <w:tab w:val="center" w:pos="4320"/>
        <w:tab w:val="right" w:pos="8640"/>
      </w:tabs>
    </w:pPr>
    <w:rPr>
      <w:rFonts w:ascii="Baskerville Old Face" w:hAnsi="Baskerville Old Face"/>
    </w:rPr>
  </w:style>
  <w:style w:type="character" w:customStyle="1" w:styleId="FooterChar">
    <w:name w:val="Footer Char"/>
    <w:basedOn w:val="DefaultParagraphFont"/>
    <w:link w:val="Footer"/>
    <w:uiPriority w:val="99"/>
    <w:locked/>
    <w:rsid w:val="00582527"/>
    <w:rPr>
      <w:rFonts w:ascii="Baskerville Old Face" w:hAnsi="Baskerville Old Face" w:cs="Times New Roman"/>
      <w:sz w:val="24"/>
    </w:rPr>
  </w:style>
  <w:style w:type="character" w:styleId="PageNumber">
    <w:name w:val="page number"/>
    <w:basedOn w:val="DefaultParagraphFont"/>
    <w:uiPriority w:val="99"/>
    <w:semiHidden/>
    <w:rsid w:val="00432F58"/>
    <w:rPr>
      <w:rFonts w:cs="Times New Roman"/>
      <w:color w:val="000000"/>
      <w:sz w:val="20"/>
    </w:rPr>
  </w:style>
  <w:style w:type="paragraph" w:styleId="BodyTextIndent">
    <w:name w:val="Body Text Indent"/>
    <w:basedOn w:val="Normal"/>
    <w:link w:val="BodyTextIndentChar"/>
    <w:uiPriority w:val="99"/>
    <w:semiHidden/>
    <w:rsid w:val="00432F58"/>
    <w:rPr>
      <w:sz w:val="20"/>
      <w:szCs w:val="20"/>
    </w:rPr>
  </w:style>
  <w:style w:type="character" w:customStyle="1" w:styleId="BodyTextIndentChar">
    <w:name w:val="Body Text Indent Char"/>
    <w:basedOn w:val="DefaultParagraphFont"/>
    <w:link w:val="BodyTextIndent"/>
    <w:uiPriority w:val="99"/>
    <w:semiHidden/>
    <w:locked/>
    <w:rsid w:val="00F655FD"/>
    <w:rPr>
      <w:rFonts w:cs="Times New Roman"/>
      <w:sz w:val="20"/>
    </w:rPr>
  </w:style>
  <w:style w:type="paragraph" w:styleId="BodyText">
    <w:name w:val="Body Text"/>
    <w:basedOn w:val="Normal"/>
    <w:link w:val="BodyTextChar"/>
    <w:uiPriority w:val="99"/>
    <w:semiHidden/>
    <w:rsid w:val="00432F58"/>
    <w:pPr>
      <w:jc w:val="both"/>
    </w:pPr>
    <w:rPr>
      <w:sz w:val="20"/>
      <w:szCs w:val="20"/>
    </w:rPr>
  </w:style>
  <w:style w:type="character" w:customStyle="1" w:styleId="BodyTextChar">
    <w:name w:val="Body Text Char"/>
    <w:basedOn w:val="DefaultParagraphFont"/>
    <w:link w:val="BodyText"/>
    <w:uiPriority w:val="99"/>
    <w:semiHidden/>
    <w:locked/>
    <w:rsid w:val="00F655FD"/>
    <w:rPr>
      <w:rFonts w:cs="Times New Roman"/>
      <w:sz w:val="20"/>
    </w:rPr>
  </w:style>
  <w:style w:type="paragraph" w:customStyle="1" w:styleId="BodyTextIn">
    <w:name w:val="Body Text In"/>
    <w:basedOn w:val="Normal"/>
    <w:uiPriority w:val="99"/>
    <w:rsid w:val="00432F5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cs="Baskerville Old Face"/>
    </w:rPr>
  </w:style>
  <w:style w:type="paragraph" w:styleId="DocumentMap">
    <w:name w:val="Document Map"/>
    <w:basedOn w:val="Normal"/>
    <w:link w:val="DocumentMapChar"/>
    <w:uiPriority w:val="99"/>
    <w:semiHidden/>
    <w:rsid w:val="00432F58"/>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F655FD"/>
    <w:rPr>
      <w:rFonts w:cs="Times New Roman"/>
      <w:sz w:val="2"/>
    </w:rPr>
  </w:style>
  <w:style w:type="paragraph" w:styleId="BodyText2">
    <w:name w:val="Body Text 2"/>
    <w:basedOn w:val="Normal"/>
    <w:link w:val="BodyText2Char"/>
    <w:uiPriority w:val="99"/>
    <w:semiHidden/>
    <w:rsid w:val="00432F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BodyText2Char">
    <w:name w:val="Body Text 2 Char"/>
    <w:basedOn w:val="DefaultParagraphFont"/>
    <w:link w:val="BodyText2"/>
    <w:uiPriority w:val="99"/>
    <w:semiHidden/>
    <w:locked/>
    <w:rsid w:val="00F655FD"/>
    <w:rPr>
      <w:rFonts w:cs="Times New Roman"/>
      <w:sz w:val="20"/>
    </w:rPr>
  </w:style>
  <w:style w:type="paragraph" w:styleId="BodyTextIndent2">
    <w:name w:val="Body Text Indent 2"/>
    <w:basedOn w:val="Normal"/>
    <w:link w:val="BodyTextIndent2Char"/>
    <w:uiPriority w:val="99"/>
    <w:semiHidden/>
    <w:rsid w:val="00432F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szCs w:val="20"/>
    </w:rPr>
  </w:style>
  <w:style w:type="character" w:customStyle="1" w:styleId="BodyTextIndent2Char">
    <w:name w:val="Body Text Indent 2 Char"/>
    <w:basedOn w:val="DefaultParagraphFont"/>
    <w:link w:val="BodyTextIndent2"/>
    <w:uiPriority w:val="99"/>
    <w:semiHidden/>
    <w:locked/>
    <w:rsid w:val="00F655FD"/>
    <w:rPr>
      <w:rFonts w:cs="Times New Roman"/>
      <w:sz w:val="20"/>
    </w:rPr>
  </w:style>
  <w:style w:type="paragraph" w:styleId="BodyTextIndent3">
    <w:name w:val="Body Text Indent 3"/>
    <w:basedOn w:val="Normal"/>
    <w:link w:val="BodyTextIndent3Char"/>
    <w:uiPriority w:val="99"/>
    <w:semiHidden/>
    <w:rsid w:val="00432F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6"/>
      <w:szCs w:val="16"/>
    </w:rPr>
  </w:style>
  <w:style w:type="character" w:customStyle="1" w:styleId="BodyTextIndent3Char">
    <w:name w:val="Body Text Indent 3 Char"/>
    <w:basedOn w:val="DefaultParagraphFont"/>
    <w:link w:val="BodyTextIndent3"/>
    <w:uiPriority w:val="99"/>
    <w:semiHidden/>
    <w:locked/>
    <w:rsid w:val="00F655FD"/>
    <w:rPr>
      <w:rFonts w:cs="Times New Roman"/>
      <w:sz w:val="16"/>
    </w:rPr>
  </w:style>
  <w:style w:type="character" w:styleId="CommentReference">
    <w:name w:val="annotation reference"/>
    <w:basedOn w:val="DefaultParagraphFont"/>
    <w:uiPriority w:val="99"/>
    <w:rsid w:val="00B200C4"/>
    <w:rPr>
      <w:rFonts w:cs="Times New Roman"/>
      <w:sz w:val="16"/>
    </w:rPr>
  </w:style>
  <w:style w:type="paragraph" w:styleId="CommentText">
    <w:name w:val="annotation text"/>
    <w:basedOn w:val="Normal"/>
    <w:link w:val="CommentTextChar"/>
    <w:uiPriority w:val="99"/>
    <w:rsid w:val="00B200C4"/>
    <w:rPr>
      <w:sz w:val="20"/>
      <w:szCs w:val="20"/>
    </w:rPr>
  </w:style>
  <w:style w:type="character" w:customStyle="1" w:styleId="CommentTextChar">
    <w:name w:val="Comment Text Char"/>
    <w:basedOn w:val="DefaultParagraphFont"/>
    <w:link w:val="CommentText"/>
    <w:uiPriority w:val="99"/>
    <w:locked/>
    <w:rsid w:val="00B200C4"/>
    <w:rPr>
      <w:rFonts w:cs="Times New Roman"/>
    </w:rPr>
  </w:style>
  <w:style w:type="paragraph" w:styleId="CommentSubject">
    <w:name w:val="annotation subject"/>
    <w:basedOn w:val="CommentText"/>
    <w:next w:val="CommentText"/>
    <w:link w:val="CommentSubjectChar"/>
    <w:uiPriority w:val="99"/>
    <w:semiHidden/>
    <w:rsid w:val="00B200C4"/>
    <w:rPr>
      <w:b/>
      <w:bCs/>
    </w:rPr>
  </w:style>
  <w:style w:type="character" w:customStyle="1" w:styleId="CommentSubjectChar">
    <w:name w:val="Comment Subject Char"/>
    <w:basedOn w:val="CommentTextChar"/>
    <w:link w:val="CommentSubject"/>
    <w:uiPriority w:val="99"/>
    <w:semiHidden/>
    <w:locked/>
    <w:rsid w:val="00B200C4"/>
    <w:rPr>
      <w:rFonts w:cs="Times New Roman"/>
      <w:b/>
    </w:rPr>
  </w:style>
  <w:style w:type="paragraph" w:styleId="ListParagraph">
    <w:name w:val="List Paragraph"/>
    <w:basedOn w:val="Normal"/>
    <w:link w:val="ListParagraphChar"/>
    <w:uiPriority w:val="99"/>
    <w:qFormat/>
    <w:rsid w:val="00274B02"/>
    <w:pPr>
      <w:widowControl/>
      <w:spacing w:after="240" w:line="360" w:lineRule="auto"/>
    </w:pPr>
    <w:rPr>
      <w:szCs w:val="20"/>
    </w:rPr>
  </w:style>
  <w:style w:type="paragraph" w:styleId="Revision">
    <w:name w:val="Revision"/>
    <w:hidden/>
    <w:uiPriority w:val="99"/>
    <w:semiHidden/>
    <w:rsid w:val="006B06B9"/>
    <w:rPr>
      <w:sz w:val="24"/>
      <w:szCs w:val="24"/>
    </w:rPr>
  </w:style>
  <w:style w:type="paragraph" w:customStyle="1" w:styleId="RFR-Level3-A-Text">
    <w:name w:val="RFR-Level3 - A - Text"/>
    <w:basedOn w:val="Normal"/>
    <w:next w:val="Normal"/>
    <w:uiPriority w:val="99"/>
    <w:rsid w:val="00210105"/>
    <w:pPr>
      <w:widowControl/>
      <w:ind w:left="1080"/>
      <w:outlineLvl w:val="2"/>
    </w:pPr>
    <w:rPr>
      <w:rFonts w:ascii="Book Antiqua" w:hAnsi="Book Antiqua" w:cs="Book Antiqua"/>
    </w:rPr>
  </w:style>
  <w:style w:type="paragraph" w:customStyle="1" w:styleId="RFR-Level3-A">
    <w:name w:val="RFR-Level3 - A."/>
    <w:basedOn w:val="Normal"/>
    <w:next w:val="RFR-Level3-A-Text"/>
    <w:uiPriority w:val="99"/>
    <w:rsid w:val="00210105"/>
    <w:pPr>
      <w:widowControl/>
      <w:ind w:left="1080" w:hanging="360"/>
      <w:outlineLvl w:val="2"/>
    </w:pPr>
    <w:rPr>
      <w:rFonts w:ascii="Book Antiqua" w:hAnsi="Book Antiqua" w:cs="Book Antiqua"/>
    </w:rPr>
  </w:style>
  <w:style w:type="character" w:customStyle="1" w:styleId="ListParagraphChar">
    <w:name w:val="List Paragraph Char"/>
    <w:link w:val="ListParagraph"/>
    <w:uiPriority w:val="99"/>
    <w:locked/>
    <w:rsid w:val="00274B02"/>
    <w:rPr>
      <w:sz w:val="20"/>
    </w:rPr>
  </w:style>
  <w:style w:type="paragraph" w:customStyle="1" w:styleId="Default">
    <w:name w:val="Default"/>
    <w:rsid w:val="0023484E"/>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DF46E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8E4FEC"/>
    <w:pPr>
      <w:widowControl/>
      <w:spacing w:before="100" w:beforeAutospacing="1" w:after="100" w:afterAutospacing="1"/>
    </w:pPr>
  </w:style>
  <w:style w:type="paragraph" w:customStyle="1" w:styleId="clause">
    <w:name w:val="clause"/>
    <w:basedOn w:val="Normal"/>
    <w:uiPriority w:val="99"/>
    <w:rsid w:val="008E4FEC"/>
    <w:pPr>
      <w:widowControl/>
      <w:spacing w:before="100" w:beforeAutospacing="1" w:after="100" w:afterAutospacing="1"/>
    </w:pPr>
  </w:style>
  <w:style w:type="character" w:styleId="Hyperlink">
    <w:name w:val="Hyperlink"/>
    <w:basedOn w:val="DefaultParagraphFont"/>
    <w:uiPriority w:val="99"/>
    <w:rsid w:val="008E4FEC"/>
    <w:rPr>
      <w:rFonts w:cs="Times New Roman"/>
      <w:color w:val="0000FF"/>
      <w:u w:val="single"/>
    </w:rPr>
  </w:style>
  <w:style w:type="paragraph" w:customStyle="1" w:styleId="ColorfulList-Accent11">
    <w:name w:val="Colorful List - Accent 11"/>
    <w:basedOn w:val="Normal"/>
    <w:uiPriority w:val="99"/>
    <w:rsid w:val="003D76DF"/>
    <w:pPr>
      <w:widowControl/>
      <w:ind w:left="720"/>
    </w:pPr>
    <w:rPr>
      <w:rFonts w:ascii="Calibri" w:hAnsi="Calibri" w:cs="Calibri"/>
      <w:sz w:val="22"/>
      <w:szCs w:val="22"/>
    </w:rPr>
  </w:style>
  <w:style w:type="paragraph" w:styleId="FootnoteText">
    <w:name w:val="footnote text"/>
    <w:basedOn w:val="Normal"/>
    <w:link w:val="FootnoteTextChar"/>
    <w:uiPriority w:val="99"/>
    <w:semiHidden/>
    <w:rsid w:val="0063514C"/>
    <w:rPr>
      <w:sz w:val="20"/>
      <w:szCs w:val="20"/>
    </w:rPr>
  </w:style>
  <w:style w:type="character" w:customStyle="1" w:styleId="FootnoteTextChar">
    <w:name w:val="Footnote Text Char"/>
    <w:basedOn w:val="DefaultParagraphFont"/>
    <w:link w:val="FootnoteText"/>
    <w:uiPriority w:val="99"/>
    <w:semiHidden/>
    <w:locked/>
    <w:rsid w:val="0063514C"/>
    <w:rPr>
      <w:rFonts w:cs="Times New Roman"/>
    </w:rPr>
  </w:style>
  <w:style w:type="character" w:customStyle="1" w:styleId="outputtext1">
    <w:name w:val="outputtext1"/>
    <w:uiPriority w:val="99"/>
    <w:rsid w:val="00562279"/>
    <w:rPr>
      <w:b/>
      <w:color w:val="000000"/>
      <w:shd w:val="clear" w:color="auto" w:fill="auto"/>
    </w:rPr>
  </w:style>
  <w:style w:type="paragraph" w:styleId="NoSpacing">
    <w:name w:val="No Spacing"/>
    <w:link w:val="NoSpacingChar"/>
    <w:uiPriority w:val="99"/>
    <w:qFormat/>
    <w:rsid w:val="00414CBE"/>
  </w:style>
  <w:style w:type="paragraph" w:styleId="NormalWeb">
    <w:name w:val="Normal (Web)"/>
    <w:basedOn w:val="Normal"/>
    <w:uiPriority w:val="99"/>
    <w:semiHidden/>
    <w:locked/>
    <w:rsid w:val="008D23F6"/>
    <w:pPr>
      <w:widowControl/>
    </w:pPr>
  </w:style>
  <w:style w:type="paragraph" w:customStyle="1" w:styleId="subpara">
    <w:name w:val="subpara"/>
    <w:basedOn w:val="Normal"/>
    <w:uiPriority w:val="99"/>
    <w:rsid w:val="00B248CD"/>
    <w:pPr>
      <w:widowControl/>
      <w:spacing w:before="100" w:beforeAutospacing="1" w:after="100" w:afterAutospacing="1"/>
    </w:pPr>
  </w:style>
  <w:style w:type="paragraph" w:styleId="ListNumber">
    <w:name w:val="List Number"/>
    <w:basedOn w:val="Normal"/>
    <w:link w:val="ListNumberChar"/>
    <w:uiPriority w:val="99"/>
    <w:locked/>
    <w:rsid w:val="00874F96"/>
    <w:pPr>
      <w:numPr>
        <w:numId w:val="1"/>
      </w:numPr>
    </w:pPr>
    <w:rPr>
      <w:szCs w:val="20"/>
    </w:rPr>
  </w:style>
  <w:style w:type="paragraph" w:styleId="ListNumber2">
    <w:name w:val="List Number 2"/>
    <w:basedOn w:val="Normal"/>
    <w:uiPriority w:val="99"/>
    <w:locked/>
    <w:rsid w:val="00874F96"/>
    <w:pPr>
      <w:tabs>
        <w:tab w:val="num" w:pos="720"/>
      </w:tabs>
      <w:ind w:left="720" w:hanging="360"/>
    </w:pPr>
    <w:rPr>
      <w:szCs w:val="20"/>
    </w:rPr>
  </w:style>
  <w:style w:type="character" w:customStyle="1" w:styleId="ListNumberChar">
    <w:name w:val="List Number Char"/>
    <w:basedOn w:val="DefaultParagraphFont"/>
    <w:link w:val="ListNumber"/>
    <w:uiPriority w:val="99"/>
    <w:locked/>
    <w:rsid w:val="00874F96"/>
    <w:rPr>
      <w:sz w:val="24"/>
      <w:szCs w:val="20"/>
    </w:rPr>
  </w:style>
  <w:style w:type="character" w:customStyle="1" w:styleId="Body2Char">
    <w:name w:val="Body2 Char"/>
    <w:basedOn w:val="DefaultParagraphFont"/>
    <w:link w:val="Body2"/>
    <w:uiPriority w:val="99"/>
    <w:locked/>
    <w:rsid w:val="000710E3"/>
    <w:rPr>
      <w:rFonts w:ascii="Calibri" w:hAnsi="Calibri" w:cs="Calibri"/>
      <w:sz w:val="24"/>
      <w:szCs w:val="24"/>
    </w:rPr>
  </w:style>
  <w:style w:type="paragraph" w:customStyle="1" w:styleId="Body2">
    <w:name w:val="Body2"/>
    <w:basedOn w:val="Normal"/>
    <w:link w:val="Body2Char"/>
    <w:uiPriority w:val="99"/>
    <w:rsid w:val="000710E3"/>
    <w:pPr>
      <w:widowControl/>
      <w:spacing w:after="240"/>
    </w:pPr>
    <w:rPr>
      <w:rFonts w:ascii="Calibri" w:hAnsi="Calibri" w:cs="Calibri"/>
    </w:rPr>
  </w:style>
  <w:style w:type="paragraph" w:styleId="PlainText">
    <w:name w:val="Plain Text"/>
    <w:basedOn w:val="Normal"/>
    <w:link w:val="PlainTextChar"/>
    <w:uiPriority w:val="99"/>
    <w:locked/>
    <w:rsid w:val="004249CF"/>
    <w:pPr>
      <w:widowControl/>
    </w:pPr>
    <w:rPr>
      <w:rFonts w:ascii="Consolas" w:hAnsi="Consolas" w:cs="Consolas"/>
      <w:sz w:val="21"/>
      <w:szCs w:val="21"/>
    </w:rPr>
  </w:style>
  <w:style w:type="character" w:customStyle="1" w:styleId="PlainTextChar">
    <w:name w:val="Plain Text Char"/>
    <w:basedOn w:val="DefaultParagraphFont"/>
    <w:link w:val="PlainText"/>
    <w:uiPriority w:val="99"/>
    <w:locked/>
    <w:rsid w:val="004249CF"/>
    <w:rPr>
      <w:rFonts w:ascii="Consolas" w:hAnsi="Consolas" w:cs="Consolas"/>
      <w:sz w:val="21"/>
      <w:szCs w:val="21"/>
    </w:rPr>
  </w:style>
  <w:style w:type="paragraph" w:customStyle="1" w:styleId="Body4">
    <w:name w:val="Body4"/>
    <w:basedOn w:val="Normal"/>
    <w:uiPriority w:val="99"/>
    <w:rsid w:val="0084006D"/>
    <w:pPr>
      <w:widowControl/>
      <w:ind w:left="2160"/>
    </w:pPr>
    <w:rPr>
      <w:szCs w:val="20"/>
    </w:rPr>
  </w:style>
  <w:style w:type="character" w:customStyle="1" w:styleId="st1">
    <w:name w:val="st1"/>
    <w:basedOn w:val="DefaultParagraphFont"/>
    <w:uiPriority w:val="99"/>
    <w:rsid w:val="00AA3380"/>
    <w:rPr>
      <w:rFonts w:cs="Times New Roman"/>
    </w:rPr>
  </w:style>
  <w:style w:type="paragraph" w:customStyle="1" w:styleId="xmsolistparagraph">
    <w:name w:val="x_msolistparagraph"/>
    <w:basedOn w:val="Normal"/>
    <w:uiPriority w:val="99"/>
    <w:rsid w:val="00C83AFD"/>
    <w:pPr>
      <w:widowControl/>
      <w:spacing w:before="100" w:beforeAutospacing="1" w:after="100" w:afterAutospacing="1"/>
    </w:pPr>
  </w:style>
  <w:style w:type="paragraph" w:styleId="ListBullet">
    <w:name w:val="List Bullet"/>
    <w:basedOn w:val="BodyText2"/>
    <w:uiPriority w:val="99"/>
    <w:locked/>
    <w:rsid w:val="00832EF6"/>
    <w:pPr>
      <w:keepLines/>
      <w:numPr>
        <w:numId w:val="3"/>
      </w:numPr>
      <w:tabs>
        <w:tab w:val="clear" w:pos="720"/>
        <w:tab w:val="left" w:pos="450"/>
      </w:tabs>
      <w:spacing w:line="360" w:lineRule="auto"/>
      <w:ind w:left="1210"/>
    </w:pPr>
    <w:rPr>
      <w:sz w:val="24"/>
      <w:szCs w:val="24"/>
    </w:rPr>
  </w:style>
  <w:style w:type="paragraph" w:customStyle="1" w:styleId="TableText">
    <w:name w:val="Table Text"/>
    <w:basedOn w:val="Normal"/>
    <w:uiPriority w:val="99"/>
    <w:rsid w:val="001F4EC0"/>
    <w:rPr>
      <w:rFonts w:ascii="Arial" w:hAnsi="Arial"/>
      <w:sz w:val="18"/>
    </w:rPr>
  </w:style>
  <w:style w:type="paragraph" w:styleId="TOC1">
    <w:name w:val="toc 1"/>
    <w:basedOn w:val="Normal"/>
    <w:next w:val="Normal"/>
    <w:uiPriority w:val="39"/>
    <w:qFormat/>
    <w:locked/>
    <w:rsid w:val="00C528C4"/>
    <w:pPr>
      <w:tabs>
        <w:tab w:val="left" w:pos="720"/>
      </w:tabs>
      <w:spacing w:before="240" w:after="100"/>
    </w:pPr>
  </w:style>
  <w:style w:type="paragraph" w:styleId="TOC2">
    <w:name w:val="toc 2"/>
    <w:basedOn w:val="Normal"/>
    <w:next w:val="Normal"/>
    <w:uiPriority w:val="39"/>
    <w:qFormat/>
    <w:locked/>
    <w:rsid w:val="009F59FA"/>
    <w:pPr>
      <w:tabs>
        <w:tab w:val="left" w:pos="1080"/>
        <w:tab w:val="right" w:leader="dot" w:pos="9350"/>
      </w:tabs>
      <w:spacing w:after="100"/>
      <w:ind w:left="1080" w:hanging="360"/>
    </w:pPr>
  </w:style>
  <w:style w:type="paragraph" w:customStyle="1" w:styleId="TableListBullet1">
    <w:name w:val="Table List Bullet 1"/>
    <w:uiPriority w:val="99"/>
    <w:rsid w:val="00F17D62"/>
    <w:pPr>
      <w:numPr>
        <w:numId w:val="5"/>
      </w:numPr>
    </w:pPr>
    <w:rPr>
      <w:sz w:val="24"/>
      <w:szCs w:val="24"/>
    </w:rPr>
  </w:style>
  <w:style w:type="character" w:customStyle="1" w:styleId="NoSpacingChar">
    <w:name w:val="No Spacing Char"/>
    <w:basedOn w:val="DefaultParagraphFont"/>
    <w:link w:val="NoSpacing"/>
    <w:uiPriority w:val="99"/>
    <w:locked/>
    <w:rsid w:val="001D6A3E"/>
    <w:rPr>
      <w:rFonts w:cs="Times New Roman"/>
      <w:sz w:val="22"/>
      <w:szCs w:val="22"/>
      <w:lang w:val="en-US" w:eastAsia="en-US" w:bidi="ar-SA"/>
    </w:rPr>
  </w:style>
  <w:style w:type="paragraph" w:customStyle="1" w:styleId="TableBullet">
    <w:name w:val="Table Bullet"/>
    <w:uiPriority w:val="99"/>
    <w:rsid w:val="00065B1C"/>
    <w:pPr>
      <w:numPr>
        <w:numId w:val="6"/>
      </w:numPr>
      <w:spacing w:before="40" w:after="40"/>
    </w:pPr>
    <w:rPr>
      <w:rFonts w:eastAsia="MS Mincho"/>
      <w:szCs w:val="20"/>
    </w:rPr>
  </w:style>
  <w:style w:type="paragraph" w:styleId="TOCHeading">
    <w:name w:val="TOC Heading"/>
    <w:basedOn w:val="Heading1"/>
    <w:next w:val="Normal"/>
    <w:uiPriority w:val="39"/>
    <w:unhideWhenUsed/>
    <w:qFormat/>
    <w:rsid w:val="009D607A"/>
    <w:pPr>
      <w:keepNext/>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9D607A"/>
    <w:pPr>
      <w:spacing w:after="100"/>
      <w:ind w:left="480"/>
    </w:pPr>
  </w:style>
  <w:style w:type="character" w:customStyle="1" w:styleId="PlainTextChar1">
    <w:name w:val="Plain Text Char1"/>
    <w:semiHidden/>
    <w:locked/>
    <w:rsid w:val="00716412"/>
    <w:rPr>
      <w:rFonts w:ascii="Courier New" w:hAnsi="Courier New"/>
      <w:sz w:val="20"/>
    </w:rPr>
  </w:style>
  <w:style w:type="character" w:customStyle="1" w:styleId="BodyChar">
    <w:name w:val="Body Char"/>
    <w:basedOn w:val="DefaultParagraphFont"/>
    <w:link w:val="Body"/>
    <w:locked/>
    <w:rsid w:val="003F2B5F"/>
    <w:rPr>
      <w:lang w:eastAsia="x-none"/>
    </w:rPr>
  </w:style>
  <w:style w:type="paragraph" w:customStyle="1" w:styleId="Body">
    <w:name w:val="Body"/>
    <w:basedOn w:val="Normal"/>
    <w:link w:val="BodyChar"/>
    <w:rsid w:val="003F2B5F"/>
    <w:pPr>
      <w:widowControl/>
      <w:spacing w:before="240" w:after="180" w:line="300" w:lineRule="auto"/>
      <w:ind w:firstLine="720"/>
    </w:pPr>
    <w:rPr>
      <w:sz w:val="22"/>
      <w:szCs w:val="22"/>
      <w:lang w:eastAsia="x-none"/>
    </w:rPr>
  </w:style>
  <w:style w:type="numbering" w:customStyle="1" w:styleId="Style1">
    <w:name w:val="Style1"/>
    <w:uiPriority w:val="99"/>
    <w:rsid w:val="00B26C1B"/>
    <w:pPr>
      <w:numPr>
        <w:numId w:val="38"/>
      </w:numPr>
    </w:pPr>
  </w:style>
  <w:style w:type="numbering" w:customStyle="1" w:styleId="Style2">
    <w:name w:val="Style2"/>
    <w:uiPriority w:val="99"/>
    <w:rsid w:val="0074588F"/>
    <w:pPr>
      <w:numPr>
        <w:numId w:val="40"/>
      </w:numPr>
    </w:pPr>
  </w:style>
  <w:style w:type="character" w:customStyle="1" w:styleId="Heading7Char">
    <w:name w:val="Heading 7 Char"/>
    <w:basedOn w:val="DefaultParagraphFont"/>
    <w:link w:val="Heading7"/>
    <w:semiHidden/>
    <w:rsid w:val="00FE111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E11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E1115"/>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FE1115"/>
    <w:pPr>
      <w:numPr>
        <w:numId w:val="48"/>
      </w:numPr>
    </w:pPr>
  </w:style>
  <w:style w:type="numbering" w:customStyle="1" w:styleId="Style4">
    <w:name w:val="Style4"/>
    <w:uiPriority w:val="99"/>
    <w:rsid w:val="00F62AC9"/>
    <w:pPr>
      <w:numPr>
        <w:numId w:val="60"/>
      </w:numPr>
    </w:pPr>
  </w:style>
  <w:style w:type="paragraph" w:customStyle="1" w:styleId="NORCBullet1TimesNewRomanSquare">
    <w:name w:val="NORC Bullet 1 (Times New Roman Square)"/>
    <w:qFormat/>
    <w:rsid w:val="005B4137"/>
    <w:pPr>
      <w:spacing w:line="360" w:lineRule="auto"/>
    </w:pPr>
    <w:rPr>
      <w:szCs w:val="20"/>
    </w:rPr>
  </w:style>
  <w:style w:type="character" w:styleId="FollowedHyperlink">
    <w:name w:val="FollowedHyperlink"/>
    <w:basedOn w:val="DefaultParagraphFont"/>
    <w:uiPriority w:val="99"/>
    <w:semiHidden/>
    <w:unhideWhenUsed/>
    <w:locked/>
    <w:rsid w:val="00B4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713">
      <w:bodyDiv w:val="1"/>
      <w:marLeft w:val="0"/>
      <w:marRight w:val="0"/>
      <w:marTop w:val="0"/>
      <w:marBottom w:val="0"/>
      <w:divBdr>
        <w:top w:val="none" w:sz="0" w:space="0" w:color="auto"/>
        <w:left w:val="none" w:sz="0" w:space="0" w:color="auto"/>
        <w:bottom w:val="none" w:sz="0" w:space="0" w:color="auto"/>
        <w:right w:val="none" w:sz="0" w:space="0" w:color="auto"/>
      </w:divBdr>
    </w:div>
    <w:div w:id="133108754">
      <w:bodyDiv w:val="1"/>
      <w:marLeft w:val="0"/>
      <w:marRight w:val="0"/>
      <w:marTop w:val="0"/>
      <w:marBottom w:val="0"/>
      <w:divBdr>
        <w:top w:val="none" w:sz="0" w:space="0" w:color="auto"/>
        <w:left w:val="none" w:sz="0" w:space="0" w:color="auto"/>
        <w:bottom w:val="none" w:sz="0" w:space="0" w:color="auto"/>
        <w:right w:val="none" w:sz="0" w:space="0" w:color="auto"/>
      </w:divBdr>
    </w:div>
    <w:div w:id="140926711">
      <w:bodyDiv w:val="1"/>
      <w:marLeft w:val="0"/>
      <w:marRight w:val="0"/>
      <w:marTop w:val="0"/>
      <w:marBottom w:val="0"/>
      <w:divBdr>
        <w:top w:val="none" w:sz="0" w:space="0" w:color="auto"/>
        <w:left w:val="none" w:sz="0" w:space="0" w:color="auto"/>
        <w:bottom w:val="none" w:sz="0" w:space="0" w:color="auto"/>
        <w:right w:val="none" w:sz="0" w:space="0" w:color="auto"/>
      </w:divBdr>
    </w:div>
    <w:div w:id="160395341">
      <w:bodyDiv w:val="1"/>
      <w:marLeft w:val="0"/>
      <w:marRight w:val="0"/>
      <w:marTop w:val="0"/>
      <w:marBottom w:val="0"/>
      <w:divBdr>
        <w:top w:val="none" w:sz="0" w:space="0" w:color="auto"/>
        <w:left w:val="none" w:sz="0" w:space="0" w:color="auto"/>
        <w:bottom w:val="none" w:sz="0" w:space="0" w:color="auto"/>
        <w:right w:val="none" w:sz="0" w:space="0" w:color="auto"/>
      </w:divBdr>
    </w:div>
    <w:div w:id="175195015">
      <w:bodyDiv w:val="1"/>
      <w:marLeft w:val="0"/>
      <w:marRight w:val="0"/>
      <w:marTop w:val="0"/>
      <w:marBottom w:val="0"/>
      <w:divBdr>
        <w:top w:val="none" w:sz="0" w:space="0" w:color="auto"/>
        <w:left w:val="none" w:sz="0" w:space="0" w:color="auto"/>
        <w:bottom w:val="none" w:sz="0" w:space="0" w:color="auto"/>
        <w:right w:val="none" w:sz="0" w:space="0" w:color="auto"/>
      </w:divBdr>
    </w:div>
    <w:div w:id="178203661">
      <w:bodyDiv w:val="1"/>
      <w:marLeft w:val="0"/>
      <w:marRight w:val="0"/>
      <w:marTop w:val="0"/>
      <w:marBottom w:val="0"/>
      <w:divBdr>
        <w:top w:val="none" w:sz="0" w:space="0" w:color="auto"/>
        <w:left w:val="none" w:sz="0" w:space="0" w:color="auto"/>
        <w:bottom w:val="none" w:sz="0" w:space="0" w:color="auto"/>
        <w:right w:val="none" w:sz="0" w:space="0" w:color="auto"/>
      </w:divBdr>
    </w:div>
    <w:div w:id="218172912">
      <w:bodyDiv w:val="1"/>
      <w:marLeft w:val="0"/>
      <w:marRight w:val="0"/>
      <w:marTop w:val="0"/>
      <w:marBottom w:val="0"/>
      <w:divBdr>
        <w:top w:val="none" w:sz="0" w:space="0" w:color="auto"/>
        <w:left w:val="none" w:sz="0" w:space="0" w:color="auto"/>
        <w:bottom w:val="none" w:sz="0" w:space="0" w:color="auto"/>
        <w:right w:val="none" w:sz="0" w:space="0" w:color="auto"/>
      </w:divBdr>
    </w:div>
    <w:div w:id="269817496">
      <w:bodyDiv w:val="1"/>
      <w:marLeft w:val="0"/>
      <w:marRight w:val="0"/>
      <w:marTop w:val="0"/>
      <w:marBottom w:val="0"/>
      <w:divBdr>
        <w:top w:val="none" w:sz="0" w:space="0" w:color="auto"/>
        <w:left w:val="none" w:sz="0" w:space="0" w:color="auto"/>
        <w:bottom w:val="none" w:sz="0" w:space="0" w:color="auto"/>
        <w:right w:val="none" w:sz="0" w:space="0" w:color="auto"/>
      </w:divBdr>
    </w:div>
    <w:div w:id="305015396">
      <w:bodyDiv w:val="1"/>
      <w:marLeft w:val="0"/>
      <w:marRight w:val="0"/>
      <w:marTop w:val="0"/>
      <w:marBottom w:val="0"/>
      <w:divBdr>
        <w:top w:val="none" w:sz="0" w:space="0" w:color="auto"/>
        <w:left w:val="none" w:sz="0" w:space="0" w:color="auto"/>
        <w:bottom w:val="none" w:sz="0" w:space="0" w:color="auto"/>
        <w:right w:val="none" w:sz="0" w:space="0" w:color="auto"/>
      </w:divBdr>
    </w:div>
    <w:div w:id="306588756">
      <w:bodyDiv w:val="1"/>
      <w:marLeft w:val="0"/>
      <w:marRight w:val="0"/>
      <w:marTop w:val="0"/>
      <w:marBottom w:val="0"/>
      <w:divBdr>
        <w:top w:val="none" w:sz="0" w:space="0" w:color="auto"/>
        <w:left w:val="none" w:sz="0" w:space="0" w:color="auto"/>
        <w:bottom w:val="none" w:sz="0" w:space="0" w:color="auto"/>
        <w:right w:val="none" w:sz="0" w:space="0" w:color="auto"/>
      </w:divBdr>
    </w:div>
    <w:div w:id="307789187">
      <w:marLeft w:val="0"/>
      <w:marRight w:val="0"/>
      <w:marTop w:val="0"/>
      <w:marBottom w:val="0"/>
      <w:divBdr>
        <w:top w:val="none" w:sz="0" w:space="0" w:color="auto"/>
        <w:left w:val="none" w:sz="0" w:space="0" w:color="auto"/>
        <w:bottom w:val="none" w:sz="0" w:space="0" w:color="auto"/>
        <w:right w:val="none" w:sz="0" w:space="0" w:color="auto"/>
      </w:divBdr>
    </w:div>
    <w:div w:id="307789188">
      <w:marLeft w:val="0"/>
      <w:marRight w:val="0"/>
      <w:marTop w:val="0"/>
      <w:marBottom w:val="0"/>
      <w:divBdr>
        <w:top w:val="none" w:sz="0" w:space="0" w:color="auto"/>
        <w:left w:val="none" w:sz="0" w:space="0" w:color="auto"/>
        <w:bottom w:val="none" w:sz="0" w:space="0" w:color="auto"/>
        <w:right w:val="none" w:sz="0" w:space="0" w:color="auto"/>
      </w:divBdr>
    </w:div>
    <w:div w:id="307789192">
      <w:marLeft w:val="0"/>
      <w:marRight w:val="0"/>
      <w:marTop w:val="0"/>
      <w:marBottom w:val="0"/>
      <w:divBdr>
        <w:top w:val="none" w:sz="0" w:space="0" w:color="auto"/>
        <w:left w:val="none" w:sz="0" w:space="0" w:color="auto"/>
        <w:bottom w:val="none" w:sz="0" w:space="0" w:color="auto"/>
        <w:right w:val="none" w:sz="0" w:space="0" w:color="auto"/>
      </w:divBdr>
    </w:div>
    <w:div w:id="307789193">
      <w:marLeft w:val="0"/>
      <w:marRight w:val="0"/>
      <w:marTop w:val="0"/>
      <w:marBottom w:val="0"/>
      <w:divBdr>
        <w:top w:val="none" w:sz="0" w:space="0" w:color="auto"/>
        <w:left w:val="none" w:sz="0" w:space="0" w:color="auto"/>
        <w:bottom w:val="none" w:sz="0" w:space="0" w:color="auto"/>
        <w:right w:val="none" w:sz="0" w:space="0" w:color="auto"/>
      </w:divBdr>
    </w:div>
    <w:div w:id="307789194">
      <w:marLeft w:val="0"/>
      <w:marRight w:val="0"/>
      <w:marTop w:val="0"/>
      <w:marBottom w:val="0"/>
      <w:divBdr>
        <w:top w:val="none" w:sz="0" w:space="0" w:color="auto"/>
        <w:left w:val="none" w:sz="0" w:space="0" w:color="auto"/>
        <w:bottom w:val="none" w:sz="0" w:space="0" w:color="auto"/>
        <w:right w:val="none" w:sz="0" w:space="0" w:color="auto"/>
      </w:divBdr>
    </w:div>
    <w:div w:id="307789195">
      <w:marLeft w:val="0"/>
      <w:marRight w:val="0"/>
      <w:marTop w:val="0"/>
      <w:marBottom w:val="0"/>
      <w:divBdr>
        <w:top w:val="none" w:sz="0" w:space="0" w:color="auto"/>
        <w:left w:val="none" w:sz="0" w:space="0" w:color="auto"/>
        <w:bottom w:val="none" w:sz="0" w:space="0" w:color="auto"/>
        <w:right w:val="none" w:sz="0" w:space="0" w:color="auto"/>
      </w:divBdr>
    </w:div>
    <w:div w:id="307789196">
      <w:marLeft w:val="0"/>
      <w:marRight w:val="0"/>
      <w:marTop w:val="0"/>
      <w:marBottom w:val="0"/>
      <w:divBdr>
        <w:top w:val="none" w:sz="0" w:space="0" w:color="auto"/>
        <w:left w:val="none" w:sz="0" w:space="0" w:color="auto"/>
        <w:bottom w:val="none" w:sz="0" w:space="0" w:color="auto"/>
        <w:right w:val="none" w:sz="0" w:space="0" w:color="auto"/>
      </w:divBdr>
    </w:div>
    <w:div w:id="307789197">
      <w:marLeft w:val="0"/>
      <w:marRight w:val="0"/>
      <w:marTop w:val="0"/>
      <w:marBottom w:val="0"/>
      <w:divBdr>
        <w:top w:val="none" w:sz="0" w:space="0" w:color="auto"/>
        <w:left w:val="none" w:sz="0" w:space="0" w:color="auto"/>
        <w:bottom w:val="none" w:sz="0" w:space="0" w:color="auto"/>
        <w:right w:val="none" w:sz="0" w:space="0" w:color="auto"/>
      </w:divBdr>
      <w:divsChild>
        <w:div w:id="307789287">
          <w:marLeft w:val="0"/>
          <w:marRight w:val="0"/>
          <w:marTop w:val="0"/>
          <w:marBottom w:val="0"/>
          <w:divBdr>
            <w:top w:val="none" w:sz="0" w:space="0" w:color="auto"/>
            <w:left w:val="none" w:sz="0" w:space="0" w:color="auto"/>
            <w:bottom w:val="none" w:sz="0" w:space="0" w:color="auto"/>
            <w:right w:val="none" w:sz="0" w:space="0" w:color="auto"/>
          </w:divBdr>
          <w:divsChild>
            <w:div w:id="307789189">
              <w:marLeft w:val="0"/>
              <w:marRight w:val="0"/>
              <w:marTop w:val="0"/>
              <w:marBottom w:val="0"/>
              <w:divBdr>
                <w:top w:val="none" w:sz="0" w:space="0" w:color="auto"/>
                <w:left w:val="none" w:sz="0" w:space="0" w:color="auto"/>
                <w:bottom w:val="none" w:sz="0" w:space="0" w:color="auto"/>
                <w:right w:val="none" w:sz="0" w:space="0" w:color="auto"/>
              </w:divBdr>
              <w:divsChild>
                <w:div w:id="307789271">
                  <w:marLeft w:val="0"/>
                  <w:marRight w:val="0"/>
                  <w:marTop w:val="0"/>
                  <w:marBottom w:val="0"/>
                  <w:divBdr>
                    <w:top w:val="none" w:sz="0" w:space="0" w:color="auto"/>
                    <w:left w:val="none" w:sz="0" w:space="0" w:color="auto"/>
                    <w:bottom w:val="none" w:sz="0" w:space="0" w:color="auto"/>
                    <w:right w:val="none" w:sz="0" w:space="0" w:color="auto"/>
                  </w:divBdr>
                  <w:divsChild>
                    <w:div w:id="307789220">
                      <w:marLeft w:val="0"/>
                      <w:marRight w:val="0"/>
                      <w:marTop w:val="0"/>
                      <w:marBottom w:val="0"/>
                      <w:divBdr>
                        <w:top w:val="none" w:sz="0" w:space="0" w:color="auto"/>
                        <w:left w:val="none" w:sz="0" w:space="0" w:color="auto"/>
                        <w:bottom w:val="none" w:sz="0" w:space="0" w:color="auto"/>
                        <w:right w:val="none" w:sz="0" w:space="0" w:color="auto"/>
                      </w:divBdr>
                      <w:divsChild>
                        <w:div w:id="307789212">
                          <w:marLeft w:val="0"/>
                          <w:marRight w:val="0"/>
                          <w:marTop w:val="0"/>
                          <w:marBottom w:val="150"/>
                          <w:divBdr>
                            <w:top w:val="none" w:sz="0" w:space="0" w:color="auto"/>
                            <w:left w:val="none" w:sz="0" w:space="0" w:color="auto"/>
                            <w:bottom w:val="single" w:sz="6" w:space="8" w:color="E1E1E1"/>
                            <w:right w:val="none" w:sz="0" w:space="0" w:color="auto"/>
                          </w:divBdr>
                          <w:divsChild>
                            <w:div w:id="307789190">
                              <w:marLeft w:val="0"/>
                              <w:marRight w:val="0"/>
                              <w:marTop w:val="0"/>
                              <w:marBottom w:val="0"/>
                              <w:divBdr>
                                <w:top w:val="none" w:sz="0" w:space="0" w:color="auto"/>
                                <w:left w:val="none" w:sz="0" w:space="0" w:color="auto"/>
                                <w:bottom w:val="none" w:sz="0" w:space="0" w:color="auto"/>
                                <w:right w:val="none" w:sz="0" w:space="0" w:color="auto"/>
                              </w:divBdr>
                              <w:divsChild>
                                <w:div w:id="307789273">
                                  <w:marLeft w:val="0"/>
                                  <w:marRight w:val="0"/>
                                  <w:marTop w:val="0"/>
                                  <w:marBottom w:val="0"/>
                                  <w:divBdr>
                                    <w:top w:val="none" w:sz="0" w:space="0" w:color="auto"/>
                                    <w:left w:val="none" w:sz="0" w:space="0" w:color="auto"/>
                                    <w:bottom w:val="none" w:sz="0" w:space="0" w:color="auto"/>
                                    <w:right w:val="none" w:sz="0" w:space="0" w:color="auto"/>
                                  </w:divBdr>
                                  <w:divsChild>
                                    <w:div w:id="307789191">
                                      <w:marLeft w:val="0"/>
                                      <w:marRight w:val="0"/>
                                      <w:marTop w:val="0"/>
                                      <w:marBottom w:val="0"/>
                                      <w:divBdr>
                                        <w:top w:val="none" w:sz="0" w:space="0" w:color="auto"/>
                                        <w:left w:val="none" w:sz="0" w:space="0" w:color="auto"/>
                                        <w:bottom w:val="none" w:sz="0" w:space="0" w:color="auto"/>
                                        <w:right w:val="none" w:sz="0" w:space="0" w:color="auto"/>
                                      </w:divBdr>
                                      <w:divsChild>
                                        <w:div w:id="307789216">
                                          <w:marLeft w:val="0"/>
                                          <w:marRight w:val="0"/>
                                          <w:marTop w:val="0"/>
                                          <w:marBottom w:val="0"/>
                                          <w:divBdr>
                                            <w:top w:val="none" w:sz="0" w:space="0" w:color="auto"/>
                                            <w:left w:val="none" w:sz="0" w:space="0" w:color="auto"/>
                                            <w:bottom w:val="none" w:sz="0" w:space="0" w:color="auto"/>
                                            <w:right w:val="none" w:sz="0" w:space="0" w:color="auto"/>
                                          </w:divBdr>
                                          <w:divsChild>
                                            <w:div w:id="3077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89198">
      <w:marLeft w:val="0"/>
      <w:marRight w:val="0"/>
      <w:marTop w:val="0"/>
      <w:marBottom w:val="0"/>
      <w:divBdr>
        <w:top w:val="none" w:sz="0" w:space="0" w:color="auto"/>
        <w:left w:val="none" w:sz="0" w:space="0" w:color="auto"/>
        <w:bottom w:val="none" w:sz="0" w:space="0" w:color="auto"/>
        <w:right w:val="none" w:sz="0" w:space="0" w:color="auto"/>
      </w:divBdr>
    </w:div>
    <w:div w:id="307789199">
      <w:marLeft w:val="0"/>
      <w:marRight w:val="0"/>
      <w:marTop w:val="0"/>
      <w:marBottom w:val="0"/>
      <w:divBdr>
        <w:top w:val="none" w:sz="0" w:space="0" w:color="auto"/>
        <w:left w:val="none" w:sz="0" w:space="0" w:color="auto"/>
        <w:bottom w:val="none" w:sz="0" w:space="0" w:color="auto"/>
        <w:right w:val="none" w:sz="0" w:space="0" w:color="auto"/>
      </w:divBdr>
    </w:div>
    <w:div w:id="307789200">
      <w:marLeft w:val="0"/>
      <w:marRight w:val="0"/>
      <w:marTop w:val="0"/>
      <w:marBottom w:val="0"/>
      <w:divBdr>
        <w:top w:val="none" w:sz="0" w:space="0" w:color="auto"/>
        <w:left w:val="none" w:sz="0" w:space="0" w:color="auto"/>
        <w:bottom w:val="none" w:sz="0" w:space="0" w:color="auto"/>
        <w:right w:val="none" w:sz="0" w:space="0" w:color="auto"/>
      </w:divBdr>
    </w:div>
    <w:div w:id="307789201">
      <w:marLeft w:val="0"/>
      <w:marRight w:val="0"/>
      <w:marTop w:val="0"/>
      <w:marBottom w:val="0"/>
      <w:divBdr>
        <w:top w:val="none" w:sz="0" w:space="0" w:color="auto"/>
        <w:left w:val="none" w:sz="0" w:space="0" w:color="auto"/>
        <w:bottom w:val="none" w:sz="0" w:space="0" w:color="auto"/>
        <w:right w:val="none" w:sz="0" w:space="0" w:color="auto"/>
      </w:divBdr>
    </w:div>
    <w:div w:id="307789202">
      <w:marLeft w:val="0"/>
      <w:marRight w:val="0"/>
      <w:marTop w:val="0"/>
      <w:marBottom w:val="0"/>
      <w:divBdr>
        <w:top w:val="none" w:sz="0" w:space="0" w:color="auto"/>
        <w:left w:val="none" w:sz="0" w:space="0" w:color="auto"/>
        <w:bottom w:val="none" w:sz="0" w:space="0" w:color="auto"/>
        <w:right w:val="none" w:sz="0" w:space="0" w:color="auto"/>
      </w:divBdr>
    </w:div>
    <w:div w:id="307789203">
      <w:marLeft w:val="0"/>
      <w:marRight w:val="0"/>
      <w:marTop w:val="0"/>
      <w:marBottom w:val="0"/>
      <w:divBdr>
        <w:top w:val="none" w:sz="0" w:space="0" w:color="auto"/>
        <w:left w:val="none" w:sz="0" w:space="0" w:color="auto"/>
        <w:bottom w:val="none" w:sz="0" w:space="0" w:color="auto"/>
        <w:right w:val="none" w:sz="0" w:space="0" w:color="auto"/>
      </w:divBdr>
    </w:div>
    <w:div w:id="307789204">
      <w:marLeft w:val="0"/>
      <w:marRight w:val="0"/>
      <w:marTop w:val="0"/>
      <w:marBottom w:val="0"/>
      <w:divBdr>
        <w:top w:val="none" w:sz="0" w:space="0" w:color="auto"/>
        <w:left w:val="none" w:sz="0" w:space="0" w:color="auto"/>
        <w:bottom w:val="none" w:sz="0" w:space="0" w:color="auto"/>
        <w:right w:val="none" w:sz="0" w:space="0" w:color="auto"/>
      </w:divBdr>
    </w:div>
    <w:div w:id="307789205">
      <w:marLeft w:val="0"/>
      <w:marRight w:val="0"/>
      <w:marTop w:val="0"/>
      <w:marBottom w:val="0"/>
      <w:divBdr>
        <w:top w:val="none" w:sz="0" w:space="0" w:color="auto"/>
        <w:left w:val="none" w:sz="0" w:space="0" w:color="auto"/>
        <w:bottom w:val="none" w:sz="0" w:space="0" w:color="auto"/>
        <w:right w:val="none" w:sz="0" w:space="0" w:color="auto"/>
      </w:divBdr>
    </w:div>
    <w:div w:id="307789206">
      <w:marLeft w:val="0"/>
      <w:marRight w:val="0"/>
      <w:marTop w:val="0"/>
      <w:marBottom w:val="0"/>
      <w:divBdr>
        <w:top w:val="none" w:sz="0" w:space="0" w:color="auto"/>
        <w:left w:val="none" w:sz="0" w:space="0" w:color="auto"/>
        <w:bottom w:val="none" w:sz="0" w:space="0" w:color="auto"/>
        <w:right w:val="none" w:sz="0" w:space="0" w:color="auto"/>
      </w:divBdr>
    </w:div>
    <w:div w:id="307789207">
      <w:marLeft w:val="0"/>
      <w:marRight w:val="0"/>
      <w:marTop w:val="0"/>
      <w:marBottom w:val="0"/>
      <w:divBdr>
        <w:top w:val="none" w:sz="0" w:space="0" w:color="auto"/>
        <w:left w:val="none" w:sz="0" w:space="0" w:color="auto"/>
        <w:bottom w:val="none" w:sz="0" w:space="0" w:color="auto"/>
        <w:right w:val="none" w:sz="0" w:space="0" w:color="auto"/>
      </w:divBdr>
    </w:div>
    <w:div w:id="307789208">
      <w:marLeft w:val="0"/>
      <w:marRight w:val="0"/>
      <w:marTop w:val="0"/>
      <w:marBottom w:val="0"/>
      <w:divBdr>
        <w:top w:val="none" w:sz="0" w:space="0" w:color="auto"/>
        <w:left w:val="none" w:sz="0" w:space="0" w:color="auto"/>
        <w:bottom w:val="none" w:sz="0" w:space="0" w:color="auto"/>
        <w:right w:val="none" w:sz="0" w:space="0" w:color="auto"/>
      </w:divBdr>
    </w:div>
    <w:div w:id="307789209">
      <w:marLeft w:val="0"/>
      <w:marRight w:val="0"/>
      <w:marTop w:val="0"/>
      <w:marBottom w:val="0"/>
      <w:divBdr>
        <w:top w:val="none" w:sz="0" w:space="0" w:color="auto"/>
        <w:left w:val="none" w:sz="0" w:space="0" w:color="auto"/>
        <w:bottom w:val="none" w:sz="0" w:space="0" w:color="auto"/>
        <w:right w:val="none" w:sz="0" w:space="0" w:color="auto"/>
      </w:divBdr>
    </w:div>
    <w:div w:id="307789210">
      <w:marLeft w:val="0"/>
      <w:marRight w:val="0"/>
      <w:marTop w:val="0"/>
      <w:marBottom w:val="0"/>
      <w:divBdr>
        <w:top w:val="none" w:sz="0" w:space="0" w:color="auto"/>
        <w:left w:val="none" w:sz="0" w:space="0" w:color="auto"/>
        <w:bottom w:val="none" w:sz="0" w:space="0" w:color="auto"/>
        <w:right w:val="none" w:sz="0" w:space="0" w:color="auto"/>
      </w:divBdr>
    </w:div>
    <w:div w:id="30778921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07789214">
      <w:marLeft w:val="0"/>
      <w:marRight w:val="0"/>
      <w:marTop w:val="0"/>
      <w:marBottom w:val="0"/>
      <w:divBdr>
        <w:top w:val="none" w:sz="0" w:space="0" w:color="auto"/>
        <w:left w:val="none" w:sz="0" w:space="0" w:color="auto"/>
        <w:bottom w:val="none" w:sz="0" w:space="0" w:color="auto"/>
        <w:right w:val="none" w:sz="0" w:space="0" w:color="auto"/>
      </w:divBdr>
    </w:div>
    <w:div w:id="307789215">
      <w:marLeft w:val="0"/>
      <w:marRight w:val="0"/>
      <w:marTop w:val="0"/>
      <w:marBottom w:val="0"/>
      <w:divBdr>
        <w:top w:val="none" w:sz="0" w:space="0" w:color="auto"/>
        <w:left w:val="none" w:sz="0" w:space="0" w:color="auto"/>
        <w:bottom w:val="none" w:sz="0" w:space="0" w:color="auto"/>
        <w:right w:val="none" w:sz="0" w:space="0" w:color="auto"/>
      </w:divBdr>
    </w:div>
    <w:div w:id="307789217">
      <w:marLeft w:val="0"/>
      <w:marRight w:val="0"/>
      <w:marTop w:val="0"/>
      <w:marBottom w:val="0"/>
      <w:divBdr>
        <w:top w:val="none" w:sz="0" w:space="0" w:color="auto"/>
        <w:left w:val="none" w:sz="0" w:space="0" w:color="auto"/>
        <w:bottom w:val="none" w:sz="0" w:space="0" w:color="auto"/>
        <w:right w:val="none" w:sz="0" w:space="0" w:color="auto"/>
      </w:divBdr>
    </w:div>
    <w:div w:id="307789218">
      <w:marLeft w:val="0"/>
      <w:marRight w:val="0"/>
      <w:marTop w:val="0"/>
      <w:marBottom w:val="0"/>
      <w:divBdr>
        <w:top w:val="none" w:sz="0" w:space="0" w:color="auto"/>
        <w:left w:val="none" w:sz="0" w:space="0" w:color="auto"/>
        <w:bottom w:val="none" w:sz="0" w:space="0" w:color="auto"/>
        <w:right w:val="none" w:sz="0" w:space="0" w:color="auto"/>
      </w:divBdr>
    </w:div>
    <w:div w:id="307789219">
      <w:marLeft w:val="0"/>
      <w:marRight w:val="0"/>
      <w:marTop w:val="0"/>
      <w:marBottom w:val="0"/>
      <w:divBdr>
        <w:top w:val="none" w:sz="0" w:space="0" w:color="auto"/>
        <w:left w:val="none" w:sz="0" w:space="0" w:color="auto"/>
        <w:bottom w:val="none" w:sz="0" w:space="0" w:color="auto"/>
        <w:right w:val="none" w:sz="0" w:space="0" w:color="auto"/>
      </w:divBdr>
    </w:div>
    <w:div w:id="307789221">
      <w:marLeft w:val="0"/>
      <w:marRight w:val="0"/>
      <w:marTop w:val="0"/>
      <w:marBottom w:val="0"/>
      <w:divBdr>
        <w:top w:val="none" w:sz="0" w:space="0" w:color="auto"/>
        <w:left w:val="none" w:sz="0" w:space="0" w:color="auto"/>
        <w:bottom w:val="none" w:sz="0" w:space="0" w:color="auto"/>
        <w:right w:val="none" w:sz="0" w:space="0" w:color="auto"/>
      </w:divBdr>
    </w:div>
    <w:div w:id="307789222">
      <w:marLeft w:val="0"/>
      <w:marRight w:val="0"/>
      <w:marTop w:val="0"/>
      <w:marBottom w:val="0"/>
      <w:divBdr>
        <w:top w:val="none" w:sz="0" w:space="0" w:color="auto"/>
        <w:left w:val="none" w:sz="0" w:space="0" w:color="auto"/>
        <w:bottom w:val="none" w:sz="0" w:space="0" w:color="auto"/>
        <w:right w:val="none" w:sz="0" w:space="0" w:color="auto"/>
      </w:divBdr>
    </w:div>
    <w:div w:id="307789223">
      <w:marLeft w:val="0"/>
      <w:marRight w:val="0"/>
      <w:marTop w:val="0"/>
      <w:marBottom w:val="0"/>
      <w:divBdr>
        <w:top w:val="none" w:sz="0" w:space="0" w:color="auto"/>
        <w:left w:val="none" w:sz="0" w:space="0" w:color="auto"/>
        <w:bottom w:val="none" w:sz="0" w:space="0" w:color="auto"/>
        <w:right w:val="none" w:sz="0" w:space="0" w:color="auto"/>
      </w:divBdr>
    </w:div>
    <w:div w:id="307789224">
      <w:marLeft w:val="0"/>
      <w:marRight w:val="0"/>
      <w:marTop w:val="0"/>
      <w:marBottom w:val="0"/>
      <w:divBdr>
        <w:top w:val="none" w:sz="0" w:space="0" w:color="auto"/>
        <w:left w:val="none" w:sz="0" w:space="0" w:color="auto"/>
        <w:bottom w:val="none" w:sz="0" w:space="0" w:color="auto"/>
        <w:right w:val="none" w:sz="0" w:space="0" w:color="auto"/>
      </w:divBdr>
    </w:div>
    <w:div w:id="307789225">
      <w:marLeft w:val="0"/>
      <w:marRight w:val="0"/>
      <w:marTop w:val="0"/>
      <w:marBottom w:val="0"/>
      <w:divBdr>
        <w:top w:val="none" w:sz="0" w:space="0" w:color="auto"/>
        <w:left w:val="none" w:sz="0" w:space="0" w:color="auto"/>
        <w:bottom w:val="none" w:sz="0" w:space="0" w:color="auto"/>
        <w:right w:val="none" w:sz="0" w:space="0" w:color="auto"/>
      </w:divBdr>
    </w:div>
    <w:div w:id="307789227">
      <w:marLeft w:val="0"/>
      <w:marRight w:val="0"/>
      <w:marTop w:val="0"/>
      <w:marBottom w:val="0"/>
      <w:divBdr>
        <w:top w:val="none" w:sz="0" w:space="0" w:color="auto"/>
        <w:left w:val="none" w:sz="0" w:space="0" w:color="auto"/>
        <w:bottom w:val="none" w:sz="0" w:space="0" w:color="auto"/>
        <w:right w:val="none" w:sz="0" w:space="0" w:color="auto"/>
      </w:divBdr>
    </w:div>
    <w:div w:id="307789228">
      <w:marLeft w:val="0"/>
      <w:marRight w:val="0"/>
      <w:marTop w:val="0"/>
      <w:marBottom w:val="0"/>
      <w:divBdr>
        <w:top w:val="none" w:sz="0" w:space="0" w:color="auto"/>
        <w:left w:val="none" w:sz="0" w:space="0" w:color="auto"/>
        <w:bottom w:val="none" w:sz="0" w:space="0" w:color="auto"/>
        <w:right w:val="none" w:sz="0" w:space="0" w:color="auto"/>
      </w:divBdr>
    </w:div>
    <w:div w:id="307789229">
      <w:marLeft w:val="0"/>
      <w:marRight w:val="0"/>
      <w:marTop w:val="0"/>
      <w:marBottom w:val="0"/>
      <w:divBdr>
        <w:top w:val="none" w:sz="0" w:space="0" w:color="auto"/>
        <w:left w:val="none" w:sz="0" w:space="0" w:color="auto"/>
        <w:bottom w:val="none" w:sz="0" w:space="0" w:color="auto"/>
        <w:right w:val="none" w:sz="0" w:space="0" w:color="auto"/>
      </w:divBdr>
    </w:div>
    <w:div w:id="307789230">
      <w:marLeft w:val="0"/>
      <w:marRight w:val="0"/>
      <w:marTop w:val="0"/>
      <w:marBottom w:val="0"/>
      <w:divBdr>
        <w:top w:val="none" w:sz="0" w:space="0" w:color="auto"/>
        <w:left w:val="none" w:sz="0" w:space="0" w:color="auto"/>
        <w:bottom w:val="none" w:sz="0" w:space="0" w:color="auto"/>
        <w:right w:val="none" w:sz="0" w:space="0" w:color="auto"/>
      </w:divBdr>
    </w:div>
    <w:div w:id="307789231">
      <w:marLeft w:val="0"/>
      <w:marRight w:val="0"/>
      <w:marTop w:val="0"/>
      <w:marBottom w:val="0"/>
      <w:divBdr>
        <w:top w:val="none" w:sz="0" w:space="0" w:color="auto"/>
        <w:left w:val="none" w:sz="0" w:space="0" w:color="auto"/>
        <w:bottom w:val="none" w:sz="0" w:space="0" w:color="auto"/>
        <w:right w:val="none" w:sz="0" w:space="0" w:color="auto"/>
      </w:divBdr>
    </w:div>
    <w:div w:id="307789232">
      <w:marLeft w:val="0"/>
      <w:marRight w:val="0"/>
      <w:marTop w:val="0"/>
      <w:marBottom w:val="0"/>
      <w:divBdr>
        <w:top w:val="none" w:sz="0" w:space="0" w:color="auto"/>
        <w:left w:val="none" w:sz="0" w:space="0" w:color="auto"/>
        <w:bottom w:val="none" w:sz="0" w:space="0" w:color="auto"/>
        <w:right w:val="none" w:sz="0" w:space="0" w:color="auto"/>
      </w:divBdr>
    </w:div>
    <w:div w:id="307789233">
      <w:marLeft w:val="0"/>
      <w:marRight w:val="0"/>
      <w:marTop w:val="0"/>
      <w:marBottom w:val="0"/>
      <w:divBdr>
        <w:top w:val="none" w:sz="0" w:space="0" w:color="auto"/>
        <w:left w:val="none" w:sz="0" w:space="0" w:color="auto"/>
        <w:bottom w:val="none" w:sz="0" w:space="0" w:color="auto"/>
        <w:right w:val="none" w:sz="0" w:space="0" w:color="auto"/>
      </w:divBdr>
    </w:div>
    <w:div w:id="307789234">
      <w:marLeft w:val="0"/>
      <w:marRight w:val="0"/>
      <w:marTop w:val="0"/>
      <w:marBottom w:val="0"/>
      <w:divBdr>
        <w:top w:val="none" w:sz="0" w:space="0" w:color="auto"/>
        <w:left w:val="none" w:sz="0" w:space="0" w:color="auto"/>
        <w:bottom w:val="none" w:sz="0" w:space="0" w:color="auto"/>
        <w:right w:val="none" w:sz="0" w:space="0" w:color="auto"/>
      </w:divBdr>
    </w:div>
    <w:div w:id="307789235">
      <w:marLeft w:val="0"/>
      <w:marRight w:val="0"/>
      <w:marTop w:val="0"/>
      <w:marBottom w:val="0"/>
      <w:divBdr>
        <w:top w:val="none" w:sz="0" w:space="0" w:color="auto"/>
        <w:left w:val="none" w:sz="0" w:space="0" w:color="auto"/>
        <w:bottom w:val="none" w:sz="0" w:space="0" w:color="auto"/>
        <w:right w:val="none" w:sz="0" w:space="0" w:color="auto"/>
      </w:divBdr>
    </w:div>
    <w:div w:id="307789236">
      <w:marLeft w:val="0"/>
      <w:marRight w:val="0"/>
      <w:marTop w:val="0"/>
      <w:marBottom w:val="0"/>
      <w:divBdr>
        <w:top w:val="none" w:sz="0" w:space="0" w:color="auto"/>
        <w:left w:val="none" w:sz="0" w:space="0" w:color="auto"/>
        <w:bottom w:val="none" w:sz="0" w:space="0" w:color="auto"/>
        <w:right w:val="none" w:sz="0" w:space="0" w:color="auto"/>
      </w:divBdr>
    </w:div>
    <w:div w:id="307789237">
      <w:marLeft w:val="0"/>
      <w:marRight w:val="0"/>
      <w:marTop w:val="0"/>
      <w:marBottom w:val="0"/>
      <w:divBdr>
        <w:top w:val="none" w:sz="0" w:space="0" w:color="auto"/>
        <w:left w:val="none" w:sz="0" w:space="0" w:color="auto"/>
        <w:bottom w:val="none" w:sz="0" w:space="0" w:color="auto"/>
        <w:right w:val="none" w:sz="0" w:space="0" w:color="auto"/>
      </w:divBdr>
    </w:div>
    <w:div w:id="307789239">
      <w:marLeft w:val="0"/>
      <w:marRight w:val="0"/>
      <w:marTop w:val="0"/>
      <w:marBottom w:val="0"/>
      <w:divBdr>
        <w:top w:val="none" w:sz="0" w:space="0" w:color="auto"/>
        <w:left w:val="none" w:sz="0" w:space="0" w:color="auto"/>
        <w:bottom w:val="none" w:sz="0" w:space="0" w:color="auto"/>
        <w:right w:val="none" w:sz="0" w:space="0" w:color="auto"/>
      </w:divBdr>
      <w:divsChild>
        <w:div w:id="307789238">
          <w:marLeft w:val="0"/>
          <w:marRight w:val="0"/>
          <w:marTop w:val="0"/>
          <w:marBottom w:val="0"/>
          <w:divBdr>
            <w:top w:val="none" w:sz="0" w:space="0" w:color="auto"/>
            <w:left w:val="none" w:sz="0" w:space="0" w:color="auto"/>
            <w:bottom w:val="none" w:sz="0" w:space="0" w:color="auto"/>
            <w:right w:val="none" w:sz="0" w:space="0" w:color="auto"/>
          </w:divBdr>
          <w:divsChild>
            <w:div w:id="3077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1">
      <w:marLeft w:val="0"/>
      <w:marRight w:val="0"/>
      <w:marTop w:val="0"/>
      <w:marBottom w:val="0"/>
      <w:divBdr>
        <w:top w:val="none" w:sz="0" w:space="0" w:color="auto"/>
        <w:left w:val="none" w:sz="0" w:space="0" w:color="auto"/>
        <w:bottom w:val="none" w:sz="0" w:space="0" w:color="auto"/>
        <w:right w:val="none" w:sz="0" w:space="0" w:color="auto"/>
      </w:divBdr>
    </w:div>
    <w:div w:id="307789242">
      <w:marLeft w:val="0"/>
      <w:marRight w:val="0"/>
      <w:marTop w:val="0"/>
      <w:marBottom w:val="0"/>
      <w:divBdr>
        <w:top w:val="none" w:sz="0" w:space="0" w:color="auto"/>
        <w:left w:val="none" w:sz="0" w:space="0" w:color="auto"/>
        <w:bottom w:val="none" w:sz="0" w:space="0" w:color="auto"/>
        <w:right w:val="none" w:sz="0" w:space="0" w:color="auto"/>
      </w:divBdr>
      <w:divsChild>
        <w:div w:id="307789245">
          <w:marLeft w:val="0"/>
          <w:marRight w:val="0"/>
          <w:marTop w:val="0"/>
          <w:marBottom w:val="0"/>
          <w:divBdr>
            <w:top w:val="none" w:sz="0" w:space="0" w:color="auto"/>
            <w:left w:val="none" w:sz="0" w:space="0" w:color="auto"/>
            <w:bottom w:val="none" w:sz="0" w:space="0" w:color="auto"/>
            <w:right w:val="none" w:sz="0" w:space="0" w:color="auto"/>
          </w:divBdr>
          <w:divsChild>
            <w:div w:id="307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3">
      <w:marLeft w:val="0"/>
      <w:marRight w:val="0"/>
      <w:marTop w:val="0"/>
      <w:marBottom w:val="0"/>
      <w:divBdr>
        <w:top w:val="none" w:sz="0" w:space="0" w:color="auto"/>
        <w:left w:val="none" w:sz="0" w:space="0" w:color="auto"/>
        <w:bottom w:val="none" w:sz="0" w:space="0" w:color="auto"/>
        <w:right w:val="none" w:sz="0" w:space="0" w:color="auto"/>
      </w:divBdr>
      <w:divsChild>
        <w:div w:id="307789247">
          <w:marLeft w:val="0"/>
          <w:marRight w:val="0"/>
          <w:marTop w:val="0"/>
          <w:marBottom w:val="0"/>
          <w:divBdr>
            <w:top w:val="none" w:sz="0" w:space="0" w:color="auto"/>
            <w:left w:val="none" w:sz="0" w:space="0" w:color="auto"/>
            <w:bottom w:val="none" w:sz="0" w:space="0" w:color="auto"/>
            <w:right w:val="none" w:sz="0" w:space="0" w:color="auto"/>
          </w:divBdr>
          <w:divsChild>
            <w:div w:id="3077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4">
      <w:marLeft w:val="0"/>
      <w:marRight w:val="0"/>
      <w:marTop w:val="0"/>
      <w:marBottom w:val="0"/>
      <w:divBdr>
        <w:top w:val="none" w:sz="0" w:space="0" w:color="auto"/>
        <w:left w:val="none" w:sz="0" w:space="0" w:color="auto"/>
        <w:bottom w:val="none" w:sz="0" w:space="0" w:color="auto"/>
        <w:right w:val="none" w:sz="0" w:space="0" w:color="auto"/>
      </w:divBdr>
    </w:div>
    <w:div w:id="307789248">
      <w:marLeft w:val="0"/>
      <w:marRight w:val="0"/>
      <w:marTop w:val="0"/>
      <w:marBottom w:val="0"/>
      <w:divBdr>
        <w:top w:val="none" w:sz="0" w:space="0" w:color="auto"/>
        <w:left w:val="none" w:sz="0" w:space="0" w:color="auto"/>
        <w:bottom w:val="none" w:sz="0" w:space="0" w:color="auto"/>
        <w:right w:val="none" w:sz="0" w:space="0" w:color="auto"/>
      </w:divBdr>
    </w:div>
    <w:div w:id="307789250">
      <w:marLeft w:val="0"/>
      <w:marRight w:val="0"/>
      <w:marTop w:val="0"/>
      <w:marBottom w:val="0"/>
      <w:divBdr>
        <w:top w:val="none" w:sz="0" w:space="0" w:color="auto"/>
        <w:left w:val="none" w:sz="0" w:space="0" w:color="auto"/>
        <w:bottom w:val="none" w:sz="0" w:space="0" w:color="auto"/>
        <w:right w:val="none" w:sz="0" w:space="0" w:color="auto"/>
      </w:divBdr>
    </w:div>
    <w:div w:id="307789251">
      <w:marLeft w:val="0"/>
      <w:marRight w:val="0"/>
      <w:marTop w:val="0"/>
      <w:marBottom w:val="0"/>
      <w:divBdr>
        <w:top w:val="none" w:sz="0" w:space="0" w:color="auto"/>
        <w:left w:val="none" w:sz="0" w:space="0" w:color="auto"/>
        <w:bottom w:val="none" w:sz="0" w:space="0" w:color="auto"/>
        <w:right w:val="none" w:sz="0" w:space="0" w:color="auto"/>
      </w:divBdr>
    </w:div>
    <w:div w:id="307789252">
      <w:marLeft w:val="0"/>
      <w:marRight w:val="0"/>
      <w:marTop w:val="0"/>
      <w:marBottom w:val="0"/>
      <w:divBdr>
        <w:top w:val="none" w:sz="0" w:space="0" w:color="auto"/>
        <w:left w:val="none" w:sz="0" w:space="0" w:color="auto"/>
        <w:bottom w:val="none" w:sz="0" w:space="0" w:color="auto"/>
        <w:right w:val="none" w:sz="0" w:space="0" w:color="auto"/>
      </w:divBdr>
      <w:divsChild>
        <w:div w:id="307789246">
          <w:marLeft w:val="0"/>
          <w:marRight w:val="0"/>
          <w:marTop w:val="0"/>
          <w:marBottom w:val="0"/>
          <w:divBdr>
            <w:top w:val="none" w:sz="0" w:space="0" w:color="auto"/>
            <w:left w:val="none" w:sz="0" w:space="0" w:color="auto"/>
            <w:bottom w:val="none" w:sz="0" w:space="0" w:color="auto"/>
            <w:right w:val="none" w:sz="0" w:space="0" w:color="auto"/>
          </w:divBdr>
          <w:divsChild>
            <w:div w:id="307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55">
      <w:marLeft w:val="0"/>
      <w:marRight w:val="0"/>
      <w:marTop w:val="0"/>
      <w:marBottom w:val="0"/>
      <w:divBdr>
        <w:top w:val="none" w:sz="0" w:space="0" w:color="auto"/>
        <w:left w:val="none" w:sz="0" w:space="0" w:color="auto"/>
        <w:bottom w:val="none" w:sz="0" w:space="0" w:color="auto"/>
        <w:right w:val="none" w:sz="0" w:space="0" w:color="auto"/>
      </w:divBdr>
    </w:div>
    <w:div w:id="307789256">
      <w:marLeft w:val="0"/>
      <w:marRight w:val="0"/>
      <w:marTop w:val="0"/>
      <w:marBottom w:val="0"/>
      <w:divBdr>
        <w:top w:val="none" w:sz="0" w:space="0" w:color="auto"/>
        <w:left w:val="none" w:sz="0" w:space="0" w:color="auto"/>
        <w:bottom w:val="none" w:sz="0" w:space="0" w:color="auto"/>
        <w:right w:val="none" w:sz="0" w:space="0" w:color="auto"/>
      </w:divBdr>
    </w:div>
    <w:div w:id="307789257">
      <w:marLeft w:val="0"/>
      <w:marRight w:val="0"/>
      <w:marTop w:val="0"/>
      <w:marBottom w:val="0"/>
      <w:divBdr>
        <w:top w:val="none" w:sz="0" w:space="0" w:color="auto"/>
        <w:left w:val="none" w:sz="0" w:space="0" w:color="auto"/>
        <w:bottom w:val="none" w:sz="0" w:space="0" w:color="auto"/>
        <w:right w:val="none" w:sz="0" w:space="0" w:color="auto"/>
      </w:divBdr>
    </w:div>
    <w:div w:id="307789258">
      <w:marLeft w:val="0"/>
      <w:marRight w:val="0"/>
      <w:marTop w:val="0"/>
      <w:marBottom w:val="0"/>
      <w:divBdr>
        <w:top w:val="none" w:sz="0" w:space="0" w:color="auto"/>
        <w:left w:val="none" w:sz="0" w:space="0" w:color="auto"/>
        <w:bottom w:val="none" w:sz="0" w:space="0" w:color="auto"/>
        <w:right w:val="none" w:sz="0" w:space="0" w:color="auto"/>
      </w:divBdr>
    </w:div>
    <w:div w:id="307789259">
      <w:marLeft w:val="0"/>
      <w:marRight w:val="0"/>
      <w:marTop w:val="0"/>
      <w:marBottom w:val="0"/>
      <w:divBdr>
        <w:top w:val="none" w:sz="0" w:space="0" w:color="auto"/>
        <w:left w:val="none" w:sz="0" w:space="0" w:color="auto"/>
        <w:bottom w:val="none" w:sz="0" w:space="0" w:color="auto"/>
        <w:right w:val="none" w:sz="0" w:space="0" w:color="auto"/>
      </w:divBdr>
    </w:div>
    <w:div w:id="307789260">
      <w:marLeft w:val="0"/>
      <w:marRight w:val="0"/>
      <w:marTop w:val="0"/>
      <w:marBottom w:val="0"/>
      <w:divBdr>
        <w:top w:val="none" w:sz="0" w:space="0" w:color="auto"/>
        <w:left w:val="none" w:sz="0" w:space="0" w:color="auto"/>
        <w:bottom w:val="none" w:sz="0" w:space="0" w:color="auto"/>
        <w:right w:val="none" w:sz="0" w:space="0" w:color="auto"/>
      </w:divBdr>
    </w:div>
    <w:div w:id="307789261">
      <w:marLeft w:val="0"/>
      <w:marRight w:val="0"/>
      <w:marTop w:val="0"/>
      <w:marBottom w:val="0"/>
      <w:divBdr>
        <w:top w:val="none" w:sz="0" w:space="0" w:color="auto"/>
        <w:left w:val="none" w:sz="0" w:space="0" w:color="auto"/>
        <w:bottom w:val="none" w:sz="0" w:space="0" w:color="auto"/>
        <w:right w:val="none" w:sz="0" w:space="0" w:color="auto"/>
      </w:divBdr>
    </w:div>
    <w:div w:id="307789262">
      <w:marLeft w:val="0"/>
      <w:marRight w:val="0"/>
      <w:marTop w:val="0"/>
      <w:marBottom w:val="0"/>
      <w:divBdr>
        <w:top w:val="none" w:sz="0" w:space="0" w:color="auto"/>
        <w:left w:val="none" w:sz="0" w:space="0" w:color="auto"/>
        <w:bottom w:val="none" w:sz="0" w:space="0" w:color="auto"/>
        <w:right w:val="none" w:sz="0" w:space="0" w:color="auto"/>
      </w:divBdr>
    </w:div>
    <w:div w:id="307789263">
      <w:marLeft w:val="0"/>
      <w:marRight w:val="0"/>
      <w:marTop w:val="0"/>
      <w:marBottom w:val="0"/>
      <w:divBdr>
        <w:top w:val="none" w:sz="0" w:space="0" w:color="auto"/>
        <w:left w:val="none" w:sz="0" w:space="0" w:color="auto"/>
        <w:bottom w:val="none" w:sz="0" w:space="0" w:color="auto"/>
        <w:right w:val="none" w:sz="0" w:space="0" w:color="auto"/>
      </w:divBdr>
    </w:div>
    <w:div w:id="307789264">
      <w:marLeft w:val="0"/>
      <w:marRight w:val="0"/>
      <w:marTop w:val="0"/>
      <w:marBottom w:val="0"/>
      <w:divBdr>
        <w:top w:val="none" w:sz="0" w:space="0" w:color="auto"/>
        <w:left w:val="none" w:sz="0" w:space="0" w:color="auto"/>
        <w:bottom w:val="none" w:sz="0" w:space="0" w:color="auto"/>
        <w:right w:val="none" w:sz="0" w:space="0" w:color="auto"/>
      </w:divBdr>
    </w:div>
    <w:div w:id="307789265">
      <w:marLeft w:val="0"/>
      <w:marRight w:val="0"/>
      <w:marTop w:val="0"/>
      <w:marBottom w:val="0"/>
      <w:divBdr>
        <w:top w:val="none" w:sz="0" w:space="0" w:color="auto"/>
        <w:left w:val="none" w:sz="0" w:space="0" w:color="auto"/>
        <w:bottom w:val="none" w:sz="0" w:space="0" w:color="auto"/>
        <w:right w:val="none" w:sz="0" w:space="0" w:color="auto"/>
      </w:divBdr>
    </w:div>
    <w:div w:id="307789266">
      <w:marLeft w:val="0"/>
      <w:marRight w:val="0"/>
      <w:marTop w:val="0"/>
      <w:marBottom w:val="0"/>
      <w:divBdr>
        <w:top w:val="none" w:sz="0" w:space="0" w:color="auto"/>
        <w:left w:val="none" w:sz="0" w:space="0" w:color="auto"/>
        <w:bottom w:val="none" w:sz="0" w:space="0" w:color="auto"/>
        <w:right w:val="none" w:sz="0" w:space="0" w:color="auto"/>
      </w:divBdr>
    </w:div>
    <w:div w:id="307789267">
      <w:marLeft w:val="0"/>
      <w:marRight w:val="0"/>
      <w:marTop w:val="0"/>
      <w:marBottom w:val="0"/>
      <w:divBdr>
        <w:top w:val="none" w:sz="0" w:space="0" w:color="auto"/>
        <w:left w:val="none" w:sz="0" w:space="0" w:color="auto"/>
        <w:bottom w:val="none" w:sz="0" w:space="0" w:color="auto"/>
        <w:right w:val="none" w:sz="0" w:space="0" w:color="auto"/>
      </w:divBdr>
    </w:div>
    <w:div w:id="307789268">
      <w:marLeft w:val="0"/>
      <w:marRight w:val="0"/>
      <w:marTop w:val="0"/>
      <w:marBottom w:val="0"/>
      <w:divBdr>
        <w:top w:val="none" w:sz="0" w:space="0" w:color="auto"/>
        <w:left w:val="none" w:sz="0" w:space="0" w:color="auto"/>
        <w:bottom w:val="none" w:sz="0" w:space="0" w:color="auto"/>
        <w:right w:val="none" w:sz="0" w:space="0" w:color="auto"/>
      </w:divBdr>
    </w:div>
    <w:div w:id="307789269">
      <w:marLeft w:val="0"/>
      <w:marRight w:val="0"/>
      <w:marTop w:val="0"/>
      <w:marBottom w:val="0"/>
      <w:divBdr>
        <w:top w:val="none" w:sz="0" w:space="0" w:color="auto"/>
        <w:left w:val="none" w:sz="0" w:space="0" w:color="auto"/>
        <w:bottom w:val="none" w:sz="0" w:space="0" w:color="auto"/>
        <w:right w:val="none" w:sz="0" w:space="0" w:color="auto"/>
      </w:divBdr>
    </w:div>
    <w:div w:id="307789270">
      <w:marLeft w:val="0"/>
      <w:marRight w:val="0"/>
      <w:marTop w:val="0"/>
      <w:marBottom w:val="0"/>
      <w:divBdr>
        <w:top w:val="none" w:sz="0" w:space="0" w:color="auto"/>
        <w:left w:val="none" w:sz="0" w:space="0" w:color="auto"/>
        <w:bottom w:val="none" w:sz="0" w:space="0" w:color="auto"/>
        <w:right w:val="none" w:sz="0" w:space="0" w:color="auto"/>
      </w:divBdr>
    </w:div>
    <w:div w:id="307789272">
      <w:marLeft w:val="0"/>
      <w:marRight w:val="0"/>
      <w:marTop w:val="0"/>
      <w:marBottom w:val="0"/>
      <w:divBdr>
        <w:top w:val="none" w:sz="0" w:space="0" w:color="auto"/>
        <w:left w:val="none" w:sz="0" w:space="0" w:color="auto"/>
        <w:bottom w:val="none" w:sz="0" w:space="0" w:color="auto"/>
        <w:right w:val="none" w:sz="0" w:space="0" w:color="auto"/>
      </w:divBdr>
    </w:div>
    <w:div w:id="307789274">
      <w:marLeft w:val="0"/>
      <w:marRight w:val="0"/>
      <w:marTop w:val="0"/>
      <w:marBottom w:val="0"/>
      <w:divBdr>
        <w:top w:val="none" w:sz="0" w:space="0" w:color="auto"/>
        <w:left w:val="none" w:sz="0" w:space="0" w:color="auto"/>
        <w:bottom w:val="none" w:sz="0" w:space="0" w:color="auto"/>
        <w:right w:val="none" w:sz="0" w:space="0" w:color="auto"/>
      </w:divBdr>
    </w:div>
    <w:div w:id="307789275">
      <w:marLeft w:val="0"/>
      <w:marRight w:val="0"/>
      <w:marTop w:val="0"/>
      <w:marBottom w:val="0"/>
      <w:divBdr>
        <w:top w:val="none" w:sz="0" w:space="0" w:color="auto"/>
        <w:left w:val="none" w:sz="0" w:space="0" w:color="auto"/>
        <w:bottom w:val="none" w:sz="0" w:space="0" w:color="auto"/>
        <w:right w:val="none" w:sz="0" w:space="0" w:color="auto"/>
      </w:divBdr>
    </w:div>
    <w:div w:id="307789276">
      <w:marLeft w:val="0"/>
      <w:marRight w:val="0"/>
      <w:marTop w:val="0"/>
      <w:marBottom w:val="0"/>
      <w:divBdr>
        <w:top w:val="none" w:sz="0" w:space="0" w:color="auto"/>
        <w:left w:val="none" w:sz="0" w:space="0" w:color="auto"/>
        <w:bottom w:val="none" w:sz="0" w:space="0" w:color="auto"/>
        <w:right w:val="none" w:sz="0" w:space="0" w:color="auto"/>
      </w:divBdr>
    </w:div>
    <w:div w:id="307789277">
      <w:marLeft w:val="0"/>
      <w:marRight w:val="0"/>
      <w:marTop w:val="0"/>
      <w:marBottom w:val="0"/>
      <w:divBdr>
        <w:top w:val="none" w:sz="0" w:space="0" w:color="auto"/>
        <w:left w:val="none" w:sz="0" w:space="0" w:color="auto"/>
        <w:bottom w:val="none" w:sz="0" w:space="0" w:color="auto"/>
        <w:right w:val="none" w:sz="0" w:space="0" w:color="auto"/>
      </w:divBdr>
    </w:div>
    <w:div w:id="307789278">
      <w:marLeft w:val="0"/>
      <w:marRight w:val="0"/>
      <w:marTop w:val="0"/>
      <w:marBottom w:val="0"/>
      <w:divBdr>
        <w:top w:val="none" w:sz="0" w:space="0" w:color="auto"/>
        <w:left w:val="none" w:sz="0" w:space="0" w:color="auto"/>
        <w:bottom w:val="none" w:sz="0" w:space="0" w:color="auto"/>
        <w:right w:val="none" w:sz="0" w:space="0" w:color="auto"/>
      </w:divBdr>
    </w:div>
    <w:div w:id="307789279">
      <w:marLeft w:val="0"/>
      <w:marRight w:val="0"/>
      <w:marTop w:val="0"/>
      <w:marBottom w:val="0"/>
      <w:divBdr>
        <w:top w:val="none" w:sz="0" w:space="0" w:color="auto"/>
        <w:left w:val="none" w:sz="0" w:space="0" w:color="auto"/>
        <w:bottom w:val="none" w:sz="0" w:space="0" w:color="auto"/>
        <w:right w:val="none" w:sz="0" w:space="0" w:color="auto"/>
      </w:divBdr>
    </w:div>
    <w:div w:id="307789280">
      <w:marLeft w:val="0"/>
      <w:marRight w:val="0"/>
      <w:marTop w:val="0"/>
      <w:marBottom w:val="0"/>
      <w:divBdr>
        <w:top w:val="none" w:sz="0" w:space="0" w:color="auto"/>
        <w:left w:val="none" w:sz="0" w:space="0" w:color="auto"/>
        <w:bottom w:val="none" w:sz="0" w:space="0" w:color="auto"/>
        <w:right w:val="none" w:sz="0" w:space="0" w:color="auto"/>
      </w:divBdr>
    </w:div>
    <w:div w:id="307789281">
      <w:marLeft w:val="0"/>
      <w:marRight w:val="0"/>
      <w:marTop w:val="0"/>
      <w:marBottom w:val="0"/>
      <w:divBdr>
        <w:top w:val="none" w:sz="0" w:space="0" w:color="auto"/>
        <w:left w:val="none" w:sz="0" w:space="0" w:color="auto"/>
        <w:bottom w:val="none" w:sz="0" w:space="0" w:color="auto"/>
        <w:right w:val="none" w:sz="0" w:space="0" w:color="auto"/>
      </w:divBdr>
    </w:div>
    <w:div w:id="307789282">
      <w:marLeft w:val="0"/>
      <w:marRight w:val="0"/>
      <w:marTop w:val="0"/>
      <w:marBottom w:val="0"/>
      <w:divBdr>
        <w:top w:val="none" w:sz="0" w:space="0" w:color="auto"/>
        <w:left w:val="none" w:sz="0" w:space="0" w:color="auto"/>
        <w:bottom w:val="none" w:sz="0" w:space="0" w:color="auto"/>
        <w:right w:val="none" w:sz="0" w:space="0" w:color="auto"/>
      </w:divBdr>
    </w:div>
    <w:div w:id="307789283">
      <w:marLeft w:val="0"/>
      <w:marRight w:val="0"/>
      <w:marTop w:val="0"/>
      <w:marBottom w:val="0"/>
      <w:divBdr>
        <w:top w:val="none" w:sz="0" w:space="0" w:color="auto"/>
        <w:left w:val="none" w:sz="0" w:space="0" w:color="auto"/>
        <w:bottom w:val="none" w:sz="0" w:space="0" w:color="auto"/>
        <w:right w:val="none" w:sz="0" w:space="0" w:color="auto"/>
      </w:divBdr>
    </w:div>
    <w:div w:id="307789284">
      <w:marLeft w:val="0"/>
      <w:marRight w:val="0"/>
      <w:marTop w:val="0"/>
      <w:marBottom w:val="0"/>
      <w:divBdr>
        <w:top w:val="none" w:sz="0" w:space="0" w:color="auto"/>
        <w:left w:val="none" w:sz="0" w:space="0" w:color="auto"/>
        <w:bottom w:val="none" w:sz="0" w:space="0" w:color="auto"/>
        <w:right w:val="none" w:sz="0" w:space="0" w:color="auto"/>
      </w:divBdr>
    </w:div>
    <w:div w:id="307789285">
      <w:marLeft w:val="0"/>
      <w:marRight w:val="0"/>
      <w:marTop w:val="0"/>
      <w:marBottom w:val="0"/>
      <w:divBdr>
        <w:top w:val="none" w:sz="0" w:space="0" w:color="auto"/>
        <w:left w:val="none" w:sz="0" w:space="0" w:color="auto"/>
        <w:bottom w:val="none" w:sz="0" w:space="0" w:color="auto"/>
        <w:right w:val="none" w:sz="0" w:space="0" w:color="auto"/>
      </w:divBdr>
    </w:div>
    <w:div w:id="307789286">
      <w:marLeft w:val="0"/>
      <w:marRight w:val="0"/>
      <w:marTop w:val="0"/>
      <w:marBottom w:val="0"/>
      <w:divBdr>
        <w:top w:val="none" w:sz="0" w:space="0" w:color="auto"/>
        <w:left w:val="none" w:sz="0" w:space="0" w:color="auto"/>
        <w:bottom w:val="none" w:sz="0" w:space="0" w:color="auto"/>
        <w:right w:val="none" w:sz="0" w:space="0" w:color="auto"/>
      </w:divBdr>
    </w:div>
    <w:div w:id="307789288">
      <w:marLeft w:val="0"/>
      <w:marRight w:val="0"/>
      <w:marTop w:val="0"/>
      <w:marBottom w:val="0"/>
      <w:divBdr>
        <w:top w:val="none" w:sz="0" w:space="0" w:color="auto"/>
        <w:left w:val="none" w:sz="0" w:space="0" w:color="auto"/>
        <w:bottom w:val="none" w:sz="0" w:space="0" w:color="auto"/>
        <w:right w:val="none" w:sz="0" w:space="0" w:color="auto"/>
      </w:divBdr>
    </w:div>
    <w:div w:id="307789289">
      <w:marLeft w:val="0"/>
      <w:marRight w:val="0"/>
      <w:marTop w:val="0"/>
      <w:marBottom w:val="0"/>
      <w:divBdr>
        <w:top w:val="none" w:sz="0" w:space="0" w:color="auto"/>
        <w:left w:val="none" w:sz="0" w:space="0" w:color="auto"/>
        <w:bottom w:val="none" w:sz="0" w:space="0" w:color="auto"/>
        <w:right w:val="none" w:sz="0" w:space="0" w:color="auto"/>
      </w:divBdr>
    </w:div>
    <w:div w:id="307789290">
      <w:marLeft w:val="0"/>
      <w:marRight w:val="0"/>
      <w:marTop w:val="0"/>
      <w:marBottom w:val="0"/>
      <w:divBdr>
        <w:top w:val="none" w:sz="0" w:space="0" w:color="auto"/>
        <w:left w:val="none" w:sz="0" w:space="0" w:color="auto"/>
        <w:bottom w:val="none" w:sz="0" w:space="0" w:color="auto"/>
        <w:right w:val="none" w:sz="0" w:space="0" w:color="auto"/>
      </w:divBdr>
    </w:div>
    <w:div w:id="307789291">
      <w:marLeft w:val="0"/>
      <w:marRight w:val="0"/>
      <w:marTop w:val="0"/>
      <w:marBottom w:val="0"/>
      <w:divBdr>
        <w:top w:val="none" w:sz="0" w:space="0" w:color="auto"/>
        <w:left w:val="none" w:sz="0" w:space="0" w:color="auto"/>
        <w:bottom w:val="none" w:sz="0" w:space="0" w:color="auto"/>
        <w:right w:val="none" w:sz="0" w:space="0" w:color="auto"/>
      </w:divBdr>
    </w:div>
    <w:div w:id="307789292">
      <w:marLeft w:val="0"/>
      <w:marRight w:val="0"/>
      <w:marTop w:val="0"/>
      <w:marBottom w:val="0"/>
      <w:divBdr>
        <w:top w:val="none" w:sz="0" w:space="0" w:color="auto"/>
        <w:left w:val="none" w:sz="0" w:space="0" w:color="auto"/>
        <w:bottom w:val="none" w:sz="0" w:space="0" w:color="auto"/>
        <w:right w:val="none" w:sz="0" w:space="0" w:color="auto"/>
      </w:divBdr>
    </w:div>
    <w:div w:id="307789293">
      <w:marLeft w:val="0"/>
      <w:marRight w:val="0"/>
      <w:marTop w:val="0"/>
      <w:marBottom w:val="0"/>
      <w:divBdr>
        <w:top w:val="none" w:sz="0" w:space="0" w:color="auto"/>
        <w:left w:val="none" w:sz="0" w:space="0" w:color="auto"/>
        <w:bottom w:val="none" w:sz="0" w:space="0" w:color="auto"/>
        <w:right w:val="none" w:sz="0" w:space="0" w:color="auto"/>
      </w:divBdr>
    </w:div>
    <w:div w:id="307789294">
      <w:marLeft w:val="0"/>
      <w:marRight w:val="0"/>
      <w:marTop w:val="0"/>
      <w:marBottom w:val="0"/>
      <w:divBdr>
        <w:top w:val="none" w:sz="0" w:space="0" w:color="auto"/>
        <w:left w:val="none" w:sz="0" w:space="0" w:color="auto"/>
        <w:bottom w:val="none" w:sz="0" w:space="0" w:color="auto"/>
        <w:right w:val="none" w:sz="0" w:space="0" w:color="auto"/>
      </w:divBdr>
    </w:div>
    <w:div w:id="353464863">
      <w:bodyDiv w:val="1"/>
      <w:marLeft w:val="0"/>
      <w:marRight w:val="0"/>
      <w:marTop w:val="0"/>
      <w:marBottom w:val="0"/>
      <w:divBdr>
        <w:top w:val="none" w:sz="0" w:space="0" w:color="auto"/>
        <w:left w:val="none" w:sz="0" w:space="0" w:color="auto"/>
        <w:bottom w:val="none" w:sz="0" w:space="0" w:color="auto"/>
        <w:right w:val="none" w:sz="0" w:space="0" w:color="auto"/>
      </w:divBdr>
    </w:div>
    <w:div w:id="366566595">
      <w:bodyDiv w:val="1"/>
      <w:marLeft w:val="0"/>
      <w:marRight w:val="0"/>
      <w:marTop w:val="0"/>
      <w:marBottom w:val="0"/>
      <w:divBdr>
        <w:top w:val="none" w:sz="0" w:space="0" w:color="auto"/>
        <w:left w:val="none" w:sz="0" w:space="0" w:color="auto"/>
        <w:bottom w:val="none" w:sz="0" w:space="0" w:color="auto"/>
        <w:right w:val="none" w:sz="0" w:space="0" w:color="auto"/>
      </w:divBdr>
    </w:div>
    <w:div w:id="453333022">
      <w:bodyDiv w:val="1"/>
      <w:marLeft w:val="0"/>
      <w:marRight w:val="0"/>
      <w:marTop w:val="0"/>
      <w:marBottom w:val="0"/>
      <w:divBdr>
        <w:top w:val="none" w:sz="0" w:space="0" w:color="auto"/>
        <w:left w:val="none" w:sz="0" w:space="0" w:color="auto"/>
        <w:bottom w:val="none" w:sz="0" w:space="0" w:color="auto"/>
        <w:right w:val="none" w:sz="0" w:space="0" w:color="auto"/>
      </w:divBdr>
    </w:div>
    <w:div w:id="481652745">
      <w:bodyDiv w:val="1"/>
      <w:marLeft w:val="0"/>
      <w:marRight w:val="0"/>
      <w:marTop w:val="0"/>
      <w:marBottom w:val="0"/>
      <w:divBdr>
        <w:top w:val="none" w:sz="0" w:space="0" w:color="auto"/>
        <w:left w:val="none" w:sz="0" w:space="0" w:color="auto"/>
        <w:bottom w:val="none" w:sz="0" w:space="0" w:color="auto"/>
        <w:right w:val="none" w:sz="0" w:space="0" w:color="auto"/>
      </w:divBdr>
    </w:div>
    <w:div w:id="483471174">
      <w:bodyDiv w:val="1"/>
      <w:marLeft w:val="0"/>
      <w:marRight w:val="0"/>
      <w:marTop w:val="0"/>
      <w:marBottom w:val="0"/>
      <w:divBdr>
        <w:top w:val="none" w:sz="0" w:space="0" w:color="auto"/>
        <w:left w:val="none" w:sz="0" w:space="0" w:color="auto"/>
        <w:bottom w:val="none" w:sz="0" w:space="0" w:color="auto"/>
        <w:right w:val="none" w:sz="0" w:space="0" w:color="auto"/>
      </w:divBdr>
    </w:div>
    <w:div w:id="506872214">
      <w:bodyDiv w:val="1"/>
      <w:marLeft w:val="0"/>
      <w:marRight w:val="0"/>
      <w:marTop w:val="0"/>
      <w:marBottom w:val="0"/>
      <w:divBdr>
        <w:top w:val="none" w:sz="0" w:space="0" w:color="auto"/>
        <w:left w:val="none" w:sz="0" w:space="0" w:color="auto"/>
        <w:bottom w:val="none" w:sz="0" w:space="0" w:color="auto"/>
        <w:right w:val="none" w:sz="0" w:space="0" w:color="auto"/>
      </w:divBdr>
    </w:div>
    <w:div w:id="535851000">
      <w:bodyDiv w:val="1"/>
      <w:marLeft w:val="0"/>
      <w:marRight w:val="0"/>
      <w:marTop w:val="0"/>
      <w:marBottom w:val="0"/>
      <w:divBdr>
        <w:top w:val="none" w:sz="0" w:space="0" w:color="auto"/>
        <w:left w:val="none" w:sz="0" w:space="0" w:color="auto"/>
        <w:bottom w:val="none" w:sz="0" w:space="0" w:color="auto"/>
        <w:right w:val="none" w:sz="0" w:space="0" w:color="auto"/>
      </w:divBdr>
    </w:div>
    <w:div w:id="561449100">
      <w:bodyDiv w:val="1"/>
      <w:marLeft w:val="0"/>
      <w:marRight w:val="0"/>
      <w:marTop w:val="0"/>
      <w:marBottom w:val="0"/>
      <w:divBdr>
        <w:top w:val="none" w:sz="0" w:space="0" w:color="auto"/>
        <w:left w:val="none" w:sz="0" w:space="0" w:color="auto"/>
        <w:bottom w:val="none" w:sz="0" w:space="0" w:color="auto"/>
        <w:right w:val="none" w:sz="0" w:space="0" w:color="auto"/>
      </w:divBdr>
    </w:div>
    <w:div w:id="585724329">
      <w:bodyDiv w:val="1"/>
      <w:marLeft w:val="0"/>
      <w:marRight w:val="0"/>
      <w:marTop w:val="0"/>
      <w:marBottom w:val="0"/>
      <w:divBdr>
        <w:top w:val="none" w:sz="0" w:space="0" w:color="auto"/>
        <w:left w:val="none" w:sz="0" w:space="0" w:color="auto"/>
        <w:bottom w:val="none" w:sz="0" w:space="0" w:color="auto"/>
        <w:right w:val="none" w:sz="0" w:space="0" w:color="auto"/>
      </w:divBdr>
    </w:div>
    <w:div w:id="622733622">
      <w:bodyDiv w:val="1"/>
      <w:marLeft w:val="0"/>
      <w:marRight w:val="0"/>
      <w:marTop w:val="0"/>
      <w:marBottom w:val="0"/>
      <w:divBdr>
        <w:top w:val="none" w:sz="0" w:space="0" w:color="auto"/>
        <w:left w:val="none" w:sz="0" w:space="0" w:color="auto"/>
        <w:bottom w:val="none" w:sz="0" w:space="0" w:color="auto"/>
        <w:right w:val="none" w:sz="0" w:space="0" w:color="auto"/>
      </w:divBdr>
    </w:div>
    <w:div w:id="625737839">
      <w:bodyDiv w:val="1"/>
      <w:marLeft w:val="0"/>
      <w:marRight w:val="0"/>
      <w:marTop w:val="0"/>
      <w:marBottom w:val="0"/>
      <w:divBdr>
        <w:top w:val="none" w:sz="0" w:space="0" w:color="auto"/>
        <w:left w:val="none" w:sz="0" w:space="0" w:color="auto"/>
        <w:bottom w:val="none" w:sz="0" w:space="0" w:color="auto"/>
        <w:right w:val="none" w:sz="0" w:space="0" w:color="auto"/>
      </w:divBdr>
    </w:div>
    <w:div w:id="673413709">
      <w:bodyDiv w:val="1"/>
      <w:marLeft w:val="0"/>
      <w:marRight w:val="0"/>
      <w:marTop w:val="0"/>
      <w:marBottom w:val="0"/>
      <w:divBdr>
        <w:top w:val="none" w:sz="0" w:space="0" w:color="auto"/>
        <w:left w:val="none" w:sz="0" w:space="0" w:color="auto"/>
        <w:bottom w:val="none" w:sz="0" w:space="0" w:color="auto"/>
        <w:right w:val="none" w:sz="0" w:space="0" w:color="auto"/>
      </w:divBdr>
    </w:div>
    <w:div w:id="679544747">
      <w:bodyDiv w:val="1"/>
      <w:marLeft w:val="0"/>
      <w:marRight w:val="0"/>
      <w:marTop w:val="0"/>
      <w:marBottom w:val="0"/>
      <w:divBdr>
        <w:top w:val="none" w:sz="0" w:space="0" w:color="auto"/>
        <w:left w:val="none" w:sz="0" w:space="0" w:color="auto"/>
        <w:bottom w:val="none" w:sz="0" w:space="0" w:color="auto"/>
        <w:right w:val="none" w:sz="0" w:space="0" w:color="auto"/>
      </w:divBdr>
    </w:div>
    <w:div w:id="735013785">
      <w:bodyDiv w:val="1"/>
      <w:marLeft w:val="0"/>
      <w:marRight w:val="0"/>
      <w:marTop w:val="0"/>
      <w:marBottom w:val="0"/>
      <w:divBdr>
        <w:top w:val="none" w:sz="0" w:space="0" w:color="auto"/>
        <w:left w:val="none" w:sz="0" w:space="0" w:color="auto"/>
        <w:bottom w:val="none" w:sz="0" w:space="0" w:color="auto"/>
        <w:right w:val="none" w:sz="0" w:space="0" w:color="auto"/>
      </w:divBdr>
    </w:div>
    <w:div w:id="765731336">
      <w:bodyDiv w:val="1"/>
      <w:marLeft w:val="0"/>
      <w:marRight w:val="0"/>
      <w:marTop w:val="0"/>
      <w:marBottom w:val="0"/>
      <w:divBdr>
        <w:top w:val="none" w:sz="0" w:space="0" w:color="auto"/>
        <w:left w:val="none" w:sz="0" w:space="0" w:color="auto"/>
        <w:bottom w:val="none" w:sz="0" w:space="0" w:color="auto"/>
        <w:right w:val="none" w:sz="0" w:space="0" w:color="auto"/>
      </w:divBdr>
    </w:div>
    <w:div w:id="796294392">
      <w:bodyDiv w:val="1"/>
      <w:marLeft w:val="0"/>
      <w:marRight w:val="0"/>
      <w:marTop w:val="0"/>
      <w:marBottom w:val="0"/>
      <w:divBdr>
        <w:top w:val="none" w:sz="0" w:space="0" w:color="auto"/>
        <w:left w:val="none" w:sz="0" w:space="0" w:color="auto"/>
        <w:bottom w:val="none" w:sz="0" w:space="0" w:color="auto"/>
        <w:right w:val="none" w:sz="0" w:space="0" w:color="auto"/>
      </w:divBdr>
    </w:div>
    <w:div w:id="797189711">
      <w:bodyDiv w:val="1"/>
      <w:marLeft w:val="0"/>
      <w:marRight w:val="0"/>
      <w:marTop w:val="0"/>
      <w:marBottom w:val="0"/>
      <w:divBdr>
        <w:top w:val="none" w:sz="0" w:space="0" w:color="auto"/>
        <w:left w:val="none" w:sz="0" w:space="0" w:color="auto"/>
        <w:bottom w:val="none" w:sz="0" w:space="0" w:color="auto"/>
        <w:right w:val="none" w:sz="0" w:space="0" w:color="auto"/>
      </w:divBdr>
    </w:div>
    <w:div w:id="814641713">
      <w:bodyDiv w:val="1"/>
      <w:marLeft w:val="0"/>
      <w:marRight w:val="0"/>
      <w:marTop w:val="0"/>
      <w:marBottom w:val="0"/>
      <w:divBdr>
        <w:top w:val="none" w:sz="0" w:space="0" w:color="auto"/>
        <w:left w:val="none" w:sz="0" w:space="0" w:color="auto"/>
        <w:bottom w:val="none" w:sz="0" w:space="0" w:color="auto"/>
        <w:right w:val="none" w:sz="0" w:space="0" w:color="auto"/>
      </w:divBdr>
    </w:div>
    <w:div w:id="880944300">
      <w:bodyDiv w:val="1"/>
      <w:marLeft w:val="0"/>
      <w:marRight w:val="0"/>
      <w:marTop w:val="0"/>
      <w:marBottom w:val="0"/>
      <w:divBdr>
        <w:top w:val="none" w:sz="0" w:space="0" w:color="auto"/>
        <w:left w:val="none" w:sz="0" w:space="0" w:color="auto"/>
        <w:bottom w:val="none" w:sz="0" w:space="0" w:color="auto"/>
        <w:right w:val="none" w:sz="0" w:space="0" w:color="auto"/>
      </w:divBdr>
    </w:div>
    <w:div w:id="881331791">
      <w:bodyDiv w:val="1"/>
      <w:marLeft w:val="0"/>
      <w:marRight w:val="0"/>
      <w:marTop w:val="0"/>
      <w:marBottom w:val="0"/>
      <w:divBdr>
        <w:top w:val="none" w:sz="0" w:space="0" w:color="auto"/>
        <w:left w:val="none" w:sz="0" w:space="0" w:color="auto"/>
        <w:bottom w:val="none" w:sz="0" w:space="0" w:color="auto"/>
        <w:right w:val="none" w:sz="0" w:space="0" w:color="auto"/>
      </w:divBdr>
    </w:div>
    <w:div w:id="908615277">
      <w:bodyDiv w:val="1"/>
      <w:marLeft w:val="0"/>
      <w:marRight w:val="0"/>
      <w:marTop w:val="0"/>
      <w:marBottom w:val="0"/>
      <w:divBdr>
        <w:top w:val="none" w:sz="0" w:space="0" w:color="auto"/>
        <w:left w:val="none" w:sz="0" w:space="0" w:color="auto"/>
        <w:bottom w:val="none" w:sz="0" w:space="0" w:color="auto"/>
        <w:right w:val="none" w:sz="0" w:space="0" w:color="auto"/>
      </w:divBdr>
    </w:div>
    <w:div w:id="941452992">
      <w:bodyDiv w:val="1"/>
      <w:marLeft w:val="0"/>
      <w:marRight w:val="0"/>
      <w:marTop w:val="0"/>
      <w:marBottom w:val="0"/>
      <w:divBdr>
        <w:top w:val="none" w:sz="0" w:space="0" w:color="auto"/>
        <w:left w:val="none" w:sz="0" w:space="0" w:color="auto"/>
        <w:bottom w:val="none" w:sz="0" w:space="0" w:color="auto"/>
        <w:right w:val="none" w:sz="0" w:space="0" w:color="auto"/>
      </w:divBdr>
    </w:div>
    <w:div w:id="975722845">
      <w:bodyDiv w:val="1"/>
      <w:marLeft w:val="0"/>
      <w:marRight w:val="0"/>
      <w:marTop w:val="0"/>
      <w:marBottom w:val="0"/>
      <w:divBdr>
        <w:top w:val="none" w:sz="0" w:space="0" w:color="auto"/>
        <w:left w:val="none" w:sz="0" w:space="0" w:color="auto"/>
        <w:bottom w:val="none" w:sz="0" w:space="0" w:color="auto"/>
        <w:right w:val="none" w:sz="0" w:space="0" w:color="auto"/>
      </w:divBdr>
    </w:div>
    <w:div w:id="992414799">
      <w:bodyDiv w:val="1"/>
      <w:marLeft w:val="0"/>
      <w:marRight w:val="0"/>
      <w:marTop w:val="0"/>
      <w:marBottom w:val="0"/>
      <w:divBdr>
        <w:top w:val="none" w:sz="0" w:space="0" w:color="auto"/>
        <w:left w:val="none" w:sz="0" w:space="0" w:color="auto"/>
        <w:bottom w:val="none" w:sz="0" w:space="0" w:color="auto"/>
        <w:right w:val="none" w:sz="0" w:space="0" w:color="auto"/>
      </w:divBdr>
    </w:div>
    <w:div w:id="1029258649">
      <w:bodyDiv w:val="1"/>
      <w:marLeft w:val="0"/>
      <w:marRight w:val="0"/>
      <w:marTop w:val="0"/>
      <w:marBottom w:val="0"/>
      <w:divBdr>
        <w:top w:val="none" w:sz="0" w:space="0" w:color="auto"/>
        <w:left w:val="none" w:sz="0" w:space="0" w:color="auto"/>
        <w:bottom w:val="none" w:sz="0" w:space="0" w:color="auto"/>
        <w:right w:val="none" w:sz="0" w:space="0" w:color="auto"/>
      </w:divBdr>
    </w:div>
    <w:div w:id="1107699015">
      <w:bodyDiv w:val="1"/>
      <w:marLeft w:val="0"/>
      <w:marRight w:val="0"/>
      <w:marTop w:val="0"/>
      <w:marBottom w:val="0"/>
      <w:divBdr>
        <w:top w:val="none" w:sz="0" w:space="0" w:color="auto"/>
        <w:left w:val="none" w:sz="0" w:space="0" w:color="auto"/>
        <w:bottom w:val="none" w:sz="0" w:space="0" w:color="auto"/>
        <w:right w:val="none" w:sz="0" w:space="0" w:color="auto"/>
      </w:divBdr>
    </w:div>
    <w:div w:id="1129741223">
      <w:bodyDiv w:val="1"/>
      <w:marLeft w:val="0"/>
      <w:marRight w:val="0"/>
      <w:marTop w:val="0"/>
      <w:marBottom w:val="0"/>
      <w:divBdr>
        <w:top w:val="none" w:sz="0" w:space="0" w:color="auto"/>
        <w:left w:val="none" w:sz="0" w:space="0" w:color="auto"/>
        <w:bottom w:val="none" w:sz="0" w:space="0" w:color="auto"/>
        <w:right w:val="none" w:sz="0" w:space="0" w:color="auto"/>
      </w:divBdr>
    </w:div>
    <w:div w:id="1149514968">
      <w:bodyDiv w:val="1"/>
      <w:marLeft w:val="0"/>
      <w:marRight w:val="0"/>
      <w:marTop w:val="0"/>
      <w:marBottom w:val="0"/>
      <w:divBdr>
        <w:top w:val="none" w:sz="0" w:space="0" w:color="auto"/>
        <w:left w:val="none" w:sz="0" w:space="0" w:color="auto"/>
        <w:bottom w:val="none" w:sz="0" w:space="0" w:color="auto"/>
        <w:right w:val="none" w:sz="0" w:space="0" w:color="auto"/>
      </w:divBdr>
    </w:div>
    <w:div w:id="1184438989">
      <w:bodyDiv w:val="1"/>
      <w:marLeft w:val="0"/>
      <w:marRight w:val="0"/>
      <w:marTop w:val="0"/>
      <w:marBottom w:val="0"/>
      <w:divBdr>
        <w:top w:val="none" w:sz="0" w:space="0" w:color="auto"/>
        <w:left w:val="none" w:sz="0" w:space="0" w:color="auto"/>
        <w:bottom w:val="none" w:sz="0" w:space="0" w:color="auto"/>
        <w:right w:val="none" w:sz="0" w:space="0" w:color="auto"/>
      </w:divBdr>
    </w:div>
    <w:div w:id="1203833055">
      <w:bodyDiv w:val="1"/>
      <w:marLeft w:val="0"/>
      <w:marRight w:val="0"/>
      <w:marTop w:val="0"/>
      <w:marBottom w:val="0"/>
      <w:divBdr>
        <w:top w:val="none" w:sz="0" w:space="0" w:color="auto"/>
        <w:left w:val="none" w:sz="0" w:space="0" w:color="auto"/>
        <w:bottom w:val="none" w:sz="0" w:space="0" w:color="auto"/>
        <w:right w:val="none" w:sz="0" w:space="0" w:color="auto"/>
      </w:divBdr>
    </w:div>
    <w:div w:id="1208369468">
      <w:bodyDiv w:val="1"/>
      <w:marLeft w:val="0"/>
      <w:marRight w:val="0"/>
      <w:marTop w:val="0"/>
      <w:marBottom w:val="0"/>
      <w:divBdr>
        <w:top w:val="none" w:sz="0" w:space="0" w:color="auto"/>
        <w:left w:val="none" w:sz="0" w:space="0" w:color="auto"/>
        <w:bottom w:val="none" w:sz="0" w:space="0" w:color="auto"/>
        <w:right w:val="none" w:sz="0" w:space="0" w:color="auto"/>
      </w:divBdr>
    </w:div>
    <w:div w:id="1209143237">
      <w:bodyDiv w:val="1"/>
      <w:marLeft w:val="0"/>
      <w:marRight w:val="0"/>
      <w:marTop w:val="0"/>
      <w:marBottom w:val="0"/>
      <w:divBdr>
        <w:top w:val="none" w:sz="0" w:space="0" w:color="auto"/>
        <w:left w:val="none" w:sz="0" w:space="0" w:color="auto"/>
        <w:bottom w:val="none" w:sz="0" w:space="0" w:color="auto"/>
        <w:right w:val="none" w:sz="0" w:space="0" w:color="auto"/>
      </w:divBdr>
    </w:div>
    <w:div w:id="1234390948">
      <w:bodyDiv w:val="1"/>
      <w:marLeft w:val="0"/>
      <w:marRight w:val="0"/>
      <w:marTop w:val="0"/>
      <w:marBottom w:val="0"/>
      <w:divBdr>
        <w:top w:val="none" w:sz="0" w:space="0" w:color="auto"/>
        <w:left w:val="none" w:sz="0" w:space="0" w:color="auto"/>
        <w:bottom w:val="none" w:sz="0" w:space="0" w:color="auto"/>
        <w:right w:val="none" w:sz="0" w:space="0" w:color="auto"/>
      </w:divBdr>
    </w:div>
    <w:div w:id="1255019193">
      <w:bodyDiv w:val="1"/>
      <w:marLeft w:val="0"/>
      <w:marRight w:val="0"/>
      <w:marTop w:val="0"/>
      <w:marBottom w:val="0"/>
      <w:divBdr>
        <w:top w:val="none" w:sz="0" w:space="0" w:color="auto"/>
        <w:left w:val="none" w:sz="0" w:space="0" w:color="auto"/>
        <w:bottom w:val="none" w:sz="0" w:space="0" w:color="auto"/>
        <w:right w:val="none" w:sz="0" w:space="0" w:color="auto"/>
      </w:divBdr>
    </w:div>
    <w:div w:id="1278681850">
      <w:bodyDiv w:val="1"/>
      <w:marLeft w:val="0"/>
      <w:marRight w:val="0"/>
      <w:marTop w:val="0"/>
      <w:marBottom w:val="0"/>
      <w:divBdr>
        <w:top w:val="none" w:sz="0" w:space="0" w:color="auto"/>
        <w:left w:val="none" w:sz="0" w:space="0" w:color="auto"/>
        <w:bottom w:val="none" w:sz="0" w:space="0" w:color="auto"/>
        <w:right w:val="none" w:sz="0" w:space="0" w:color="auto"/>
      </w:divBdr>
    </w:div>
    <w:div w:id="1285190730">
      <w:bodyDiv w:val="1"/>
      <w:marLeft w:val="0"/>
      <w:marRight w:val="0"/>
      <w:marTop w:val="0"/>
      <w:marBottom w:val="0"/>
      <w:divBdr>
        <w:top w:val="none" w:sz="0" w:space="0" w:color="auto"/>
        <w:left w:val="none" w:sz="0" w:space="0" w:color="auto"/>
        <w:bottom w:val="none" w:sz="0" w:space="0" w:color="auto"/>
        <w:right w:val="none" w:sz="0" w:space="0" w:color="auto"/>
      </w:divBdr>
    </w:div>
    <w:div w:id="1287278423">
      <w:bodyDiv w:val="1"/>
      <w:marLeft w:val="0"/>
      <w:marRight w:val="0"/>
      <w:marTop w:val="0"/>
      <w:marBottom w:val="0"/>
      <w:divBdr>
        <w:top w:val="none" w:sz="0" w:space="0" w:color="auto"/>
        <w:left w:val="none" w:sz="0" w:space="0" w:color="auto"/>
        <w:bottom w:val="none" w:sz="0" w:space="0" w:color="auto"/>
        <w:right w:val="none" w:sz="0" w:space="0" w:color="auto"/>
      </w:divBdr>
    </w:div>
    <w:div w:id="1304122951">
      <w:bodyDiv w:val="1"/>
      <w:marLeft w:val="0"/>
      <w:marRight w:val="0"/>
      <w:marTop w:val="0"/>
      <w:marBottom w:val="0"/>
      <w:divBdr>
        <w:top w:val="none" w:sz="0" w:space="0" w:color="auto"/>
        <w:left w:val="none" w:sz="0" w:space="0" w:color="auto"/>
        <w:bottom w:val="none" w:sz="0" w:space="0" w:color="auto"/>
        <w:right w:val="none" w:sz="0" w:space="0" w:color="auto"/>
      </w:divBdr>
    </w:div>
    <w:div w:id="1366104878">
      <w:bodyDiv w:val="1"/>
      <w:marLeft w:val="0"/>
      <w:marRight w:val="0"/>
      <w:marTop w:val="0"/>
      <w:marBottom w:val="0"/>
      <w:divBdr>
        <w:top w:val="none" w:sz="0" w:space="0" w:color="auto"/>
        <w:left w:val="none" w:sz="0" w:space="0" w:color="auto"/>
        <w:bottom w:val="none" w:sz="0" w:space="0" w:color="auto"/>
        <w:right w:val="none" w:sz="0" w:space="0" w:color="auto"/>
      </w:divBdr>
    </w:div>
    <w:div w:id="1374040162">
      <w:bodyDiv w:val="1"/>
      <w:marLeft w:val="0"/>
      <w:marRight w:val="0"/>
      <w:marTop w:val="0"/>
      <w:marBottom w:val="0"/>
      <w:divBdr>
        <w:top w:val="none" w:sz="0" w:space="0" w:color="auto"/>
        <w:left w:val="none" w:sz="0" w:space="0" w:color="auto"/>
        <w:bottom w:val="none" w:sz="0" w:space="0" w:color="auto"/>
        <w:right w:val="none" w:sz="0" w:space="0" w:color="auto"/>
      </w:divBdr>
    </w:div>
    <w:div w:id="1376271556">
      <w:bodyDiv w:val="1"/>
      <w:marLeft w:val="0"/>
      <w:marRight w:val="0"/>
      <w:marTop w:val="0"/>
      <w:marBottom w:val="0"/>
      <w:divBdr>
        <w:top w:val="none" w:sz="0" w:space="0" w:color="auto"/>
        <w:left w:val="none" w:sz="0" w:space="0" w:color="auto"/>
        <w:bottom w:val="none" w:sz="0" w:space="0" w:color="auto"/>
        <w:right w:val="none" w:sz="0" w:space="0" w:color="auto"/>
      </w:divBdr>
    </w:div>
    <w:div w:id="1379209087">
      <w:bodyDiv w:val="1"/>
      <w:marLeft w:val="0"/>
      <w:marRight w:val="0"/>
      <w:marTop w:val="0"/>
      <w:marBottom w:val="0"/>
      <w:divBdr>
        <w:top w:val="none" w:sz="0" w:space="0" w:color="auto"/>
        <w:left w:val="none" w:sz="0" w:space="0" w:color="auto"/>
        <w:bottom w:val="none" w:sz="0" w:space="0" w:color="auto"/>
        <w:right w:val="none" w:sz="0" w:space="0" w:color="auto"/>
      </w:divBdr>
    </w:div>
    <w:div w:id="1419323545">
      <w:bodyDiv w:val="1"/>
      <w:marLeft w:val="0"/>
      <w:marRight w:val="0"/>
      <w:marTop w:val="0"/>
      <w:marBottom w:val="0"/>
      <w:divBdr>
        <w:top w:val="none" w:sz="0" w:space="0" w:color="auto"/>
        <w:left w:val="none" w:sz="0" w:space="0" w:color="auto"/>
        <w:bottom w:val="none" w:sz="0" w:space="0" w:color="auto"/>
        <w:right w:val="none" w:sz="0" w:space="0" w:color="auto"/>
      </w:divBdr>
    </w:div>
    <w:div w:id="1426342984">
      <w:bodyDiv w:val="1"/>
      <w:marLeft w:val="0"/>
      <w:marRight w:val="0"/>
      <w:marTop w:val="0"/>
      <w:marBottom w:val="0"/>
      <w:divBdr>
        <w:top w:val="none" w:sz="0" w:space="0" w:color="auto"/>
        <w:left w:val="none" w:sz="0" w:space="0" w:color="auto"/>
        <w:bottom w:val="none" w:sz="0" w:space="0" w:color="auto"/>
        <w:right w:val="none" w:sz="0" w:space="0" w:color="auto"/>
      </w:divBdr>
    </w:div>
    <w:div w:id="1450777378">
      <w:bodyDiv w:val="1"/>
      <w:marLeft w:val="0"/>
      <w:marRight w:val="0"/>
      <w:marTop w:val="0"/>
      <w:marBottom w:val="0"/>
      <w:divBdr>
        <w:top w:val="none" w:sz="0" w:space="0" w:color="auto"/>
        <w:left w:val="none" w:sz="0" w:space="0" w:color="auto"/>
        <w:bottom w:val="none" w:sz="0" w:space="0" w:color="auto"/>
        <w:right w:val="none" w:sz="0" w:space="0" w:color="auto"/>
      </w:divBdr>
    </w:div>
    <w:div w:id="1478034364">
      <w:bodyDiv w:val="1"/>
      <w:marLeft w:val="0"/>
      <w:marRight w:val="0"/>
      <w:marTop w:val="0"/>
      <w:marBottom w:val="0"/>
      <w:divBdr>
        <w:top w:val="none" w:sz="0" w:space="0" w:color="auto"/>
        <w:left w:val="none" w:sz="0" w:space="0" w:color="auto"/>
        <w:bottom w:val="none" w:sz="0" w:space="0" w:color="auto"/>
        <w:right w:val="none" w:sz="0" w:space="0" w:color="auto"/>
      </w:divBdr>
    </w:div>
    <w:div w:id="1515417780">
      <w:bodyDiv w:val="1"/>
      <w:marLeft w:val="0"/>
      <w:marRight w:val="0"/>
      <w:marTop w:val="0"/>
      <w:marBottom w:val="0"/>
      <w:divBdr>
        <w:top w:val="none" w:sz="0" w:space="0" w:color="auto"/>
        <w:left w:val="none" w:sz="0" w:space="0" w:color="auto"/>
        <w:bottom w:val="none" w:sz="0" w:space="0" w:color="auto"/>
        <w:right w:val="none" w:sz="0" w:space="0" w:color="auto"/>
      </w:divBdr>
    </w:div>
    <w:div w:id="1525361638">
      <w:bodyDiv w:val="1"/>
      <w:marLeft w:val="0"/>
      <w:marRight w:val="0"/>
      <w:marTop w:val="0"/>
      <w:marBottom w:val="0"/>
      <w:divBdr>
        <w:top w:val="none" w:sz="0" w:space="0" w:color="auto"/>
        <w:left w:val="none" w:sz="0" w:space="0" w:color="auto"/>
        <w:bottom w:val="none" w:sz="0" w:space="0" w:color="auto"/>
        <w:right w:val="none" w:sz="0" w:space="0" w:color="auto"/>
      </w:divBdr>
    </w:div>
    <w:div w:id="1560899202">
      <w:bodyDiv w:val="1"/>
      <w:marLeft w:val="0"/>
      <w:marRight w:val="0"/>
      <w:marTop w:val="0"/>
      <w:marBottom w:val="0"/>
      <w:divBdr>
        <w:top w:val="none" w:sz="0" w:space="0" w:color="auto"/>
        <w:left w:val="none" w:sz="0" w:space="0" w:color="auto"/>
        <w:bottom w:val="none" w:sz="0" w:space="0" w:color="auto"/>
        <w:right w:val="none" w:sz="0" w:space="0" w:color="auto"/>
      </w:divBdr>
    </w:div>
    <w:div w:id="1576165751">
      <w:bodyDiv w:val="1"/>
      <w:marLeft w:val="0"/>
      <w:marRight w:val="0"/>
      <w:marTop w:val="0"/>
      <w:marBottom w:val="0"/>
      <w:divBdr>
        <w:top w:val="none" w:sz="0" w:space="0" w:color="auto"/>
        <w:left w:val="none" w:sz="0" w:space="0" w:color="auto"/>
        <w:bottom w:val="none" w:sz="0" w:space="0" w:color="auto"/>
        <w:right w:val="none" w:sz="0" w:space="0" w:color="auto"/>
      </w:divBdr>
    </w:div>
    <w:div w:id="1654479636">
      <w:bodyDiv w:val="1"/>
      <w:marLeft w:val="0"/>
      <w:marRight w:val="0"/>
      <w:marTop w:val="0"/>
      <w:marBottom w:val="0"/>
      <w:divBdr>
        <w:top w:val="none" w:sz="0" w:space="0" w:color="auto"/>
        <w:left w:val="none" w:sz="0" w:space="0" w:color="auto"/>
        <w:bottom w:val="none" w:sz="0" w:space="0" w:color="auto"/>
        <w:right w:val="none" w:sz="0" w:space="0" w:color="auto"/>
      </w:divBdr>
    </w:div>
    <w:div w:id="1663390060">
      <w:bodyDiv w:val="1"/>
      <w:marLeft w:val="0"/>
      <w:marRight w:val="0"/>
      <w:marTop w:val="0"/>
      <w:marBottom w:val="0"/>
      <w:divBdr>
        <w:top w:val="none" w:sz="0" w:space="0" w:color="auto"/>
        <w:left w:val="none" w:sz="0" w:space="0" w:color="auto"/>
        <w:bottom w:val="none" w:sz="0" w:space="0" w:color="auto"/>
        <w:right w:val="none" w:sz="0" w:space="0" w:color="auto"/>
      </w:divBdr>
    </w:div>
    <w:div w:id="1673995540">
      <w:bodyDiv w:val="1"/>
      <w:marLeft w:val="0"/>
      <w:marRight w:val="0"/>
      <w:marTop w:val="0"/>
      <w:marBottom w:val="0"/>
      <w:divBdr>
        <w:top w:val="none" w:sz="0" w:space="0" w:color="auto"/>
        <w:left w:val="none" w:sz="0" w:space="0" w:color="auto"/>
        <w:bottom w:val="none" w:sz="0" w:space="0" w:color="auto"/>
        <w:right w:val="none" w:sz="0" w:space="0" w:color="auto"/>
      </w:divBdr>
    </w:div>
    <w:div w:id="1687511853">
      <w:bodyDiv w:val="1"/>
      <w:marLeft w:val="0"/>
      <w:marRight w:val="0"/>
      <w:marTop w:val="0"/>
      <w:marBottom w:val="0"/>
      <w:divBdr>
        <w:top w:val="none" w:sz="0" w:space="0" w:color="auto"/>
        <w:left w:val="none" w:sz="0" w:space="0" w:color="auto"/>
        <w:bottom w:val="none" w:sz="0" w:space="0" w:color="auto"/>
        <w:right w:val="none" w:sz="0" w:space="0" w:color="auto"/>
      </w:divBdr>
    </w:div>
    <w:div w:id="1718816901">
      <w:bodyDiv w:val="1"/>
      <w:marLeft w:val="0"/>
      <w:marRight w:val="0"/>
      <w:marTop w:val="0"/>
      <w:marBottom w:val="0"/>
      <w:divBdr>
        <w:top w:val="none" w:sz="0" w:space="0" w:color="auto"/>
        <w:left w:val="none" w:sz="0" w:space="0" w:color="auto"/>
        <w:bottom w:val="none" w:sz="0" w:space="0" w:color="auto"/>
        <w:right w:val="none" w:sz="0" w:space="0" w:color="auto"/>
      </w:divBdr>
    </w:div>
    <w:div w:id="1766538229">
      <w:bodyDiv w:val="1"/>
      <w:marLeft w:val="0"/>
      <w:marRight w:val="0"/>
      <w:marTop w:val="0"/>
      <w:marBottom w:val="0"/>
      <w:divBdr>
        <w:top w:val="none" w:sz="0" w:space="0" w:color="auto"/>
        <w:left w:val="none" w:sz="0" w:space="0" w:color="auto"/>
        <w:bottom w:val="none" w:sz="0" w:space="0" w:color="auto"/>
        <w:right w:val="none" w:sz="0" w:space="0" w:color="auto"/>
      </w:divBdr>
    </w:div>
    <w:div w:id="1847669492">
      <w:bodyDiv w:val="1"/>
      <w:marLeft w:val="0"/>
      <w:marRight w:val="0"/>
      <w:marTop w:val="0"/>
      <w:marBottom w:val="0"/>
      <w:divBdr>
        <w:top w:val="none" w:sz="0" w:space="0" w:color="auto"/>
        <w:left w:val="none" w:sz="0" w:space="0" w:color="auto"/>
        <w:bottom w:val="none" w:sz="0" w:space="0" w:color="auto"/>
        <w:right w:val="none" w:sz="0" w:space="0" w:color="auto"/>
      </w:divBdr>
    </w:div>
    <w:div w:id="1864512164">
      <w:bodyDiv w:val="1"/>
      <w:marLeft w:val="0"/>
      <w:marRight w:val="0"/>
      <w:marTop w:val="0"/>
      <w:marBottom w:val="0"/>
      <w:divBdr>
        <w:top w:val="none" w:sz="0" w:space="0" w:color="auto"/>
        <w:left w:val="none" w:sz="0" w:space="0" w:color="auto"/>
        <w:bottom w:val="none" w:sz="0" w:space="0" w:color="auto"/>
        <w:right w:val="none" w:sz="0" w:space="0" w:color="auto"/>
      </w:divBdr>
    </w:div>
    <w:div w:id="1864589792">
      <w:bodyDiv w:val="1"/>
      <w:marLeft w:val="0"/>
      <w:marRight w:val="0"/>
      <w:marTop w:val="0"/>
      <w:marBottom w:val="0"/>
      <w:divBdr>
        <w:top w:val="none" w:sz="0" w:space="0" w:color="auto"/>
        <w:left w:val="none" w:sz="0" w:space="0" w:color="auto"/>
        <w:bottom w:val="none" w:sz="0" w:space="0" w:color="auto"/>
        <w:right w:val="none" w:sz="0" w:space="0" w:color="auto"/>
      </w:divBdr>
    </w:div>
    <w:div w:id="1920630225">
      <w:bodyDiv w:val="1"/>
      <w:marLeft w:val="0"/>
      <w:marRight w:val="0"/>
      <w:marTop w:val="0"/>
      <w:marBottom w:val="0"/>
      <w:divBdr>
        <w:top w:val="none" w:sz="0" w:space="0" w:color="auto"/>
        <w:left w:val="none" w:sz="0" w:space="0" w:color="auto"/>
        <w:bottom w:val="none" w:sz="0" w:space="0" w:color="auto"/>
        <w:right w:val="none" w:sz="0" w:space="0" w:color="auto"/>
      </w:divBdr>
    </w:div>
    <w:div w:id="1949893823">
      <w:bodyDiv w:val="1"/>
      <w:marLeft w:val="0"/>
      <w:marRight w:val="0"/>
      <w:marTop w:val="0"/>
      <w:marBottom w:val="0"/>
      <w:divBdr>
        <w:top w:val="none" w:sz="0" w:space="0" w:color="auto"/>
        <w:left w:val="none" w:sz="0" w:space="0" w:color="auto"/>
        <w:bottom w:val="none" w:sz="0" w:space="0" w:color="auto"/>
        <w:right w:val="none" w:sz="0" w:space="0" w:color="auto"/>
      </w:divBdr>
    </w:div>
    <w:div w:id="1958945317">
      <w:bodyDiv w:val="1"/>
      <w:marLeft w:val="0"/>
      <w:marRight w:val="0"/>
      <w:marTop w:val="0"/>
      <w:marBottom w:val="0"/>
      <w:divBdr>
        <w:top w:val="none" w:sz="0" w:space="0" w:color="auto"/>
        <w:left w:val="none" w:sz="0" w:space="0" w:color="auto"/>
        <w:bottom w:val="none" w:sz="0" w:space="0" w:color="auto"/>
        <w:right w:val="none" w:sz="0" w:space="0" w:color="auto"/>
      </w:divBdr>
    </w:div>
    <w:div w:id="2057583390">
      <w:bodyDiv w:val="1"/>
      <w:marLeft w:val="0"/>
      <w:marRight w:val="0"/>
      <w:marTop w:val="0"/>
      <w:marBottom w:val="0"/>
      <w:divBdr>
        <w:top w:val="none" w:sz="0" w:space="0" w:color="auto"/>
        <w:left w:val="none" w:sz="0" w:space="0" w:color="auto"/>
        <w:bottom w:val="none" w:sz="0" w:space="0" w:color="auto"/>
        <w:right w:val="none" w:sz="0" w:space="0" w:color="auto"/>
      </w:divBdr>
    </w:div>
    <w:div w:id="2082482890">
      <w:bodyDiv w:val="1"/>
      <w:marLeft w:val="0"/>
      <w:marRight w:val="0"/>
      <w:marTop w:val="0"/>
      <w:marBottom w:val="0"/>
      <w:divBdr>
        <w:top w:val="none" w:sz="0" w:space="0" w:color="auto"/>
        <w:left w:val="none" w:sz="0" w:space="0" w:color="auto"/>
        <w:bottom w:val="none" w:sz="0" w:space="0" w:color="auto"/>
        <w:right w:val="none" w:sz="0" w:space="0" w:color="auto"/>
      </w:divBdr>
    </w:div>
    <w:div w:id="2094468404">
      <w:bodyDiv w:val="1"/>
      <w:marLeft w:val="0"/>
      <w:marRight w:val="0"/>
      <w:marTop w:val="0"/>
      <w:marBottom w:val="0"/>
      <w:divBdr>
        <w:top w:val="none" w:sz="0" w:space="0" w:color="auto"/>
        <w:left w:val="none" w:sz="0" w:space="0" w:color="auto"/>
        <w:bottom w:val="none" w:sz="0" w:space="0" w:color="auto"/>
        <w:right w:val="none" w:sz="0" w:space="0" w:color="auto"/>
      </w:divBdr>
    </w:div>
    <w:div w:id="2102674521">
      <w:bodyDiv w:val="1"/>
      <w:marLeft w:val="0"/>
      <w:marRight w:val="0"/>
      <w:marTop w:val="0"/>
      <w:marBottom w:val="0"/>
      <w:divBdr>
        <w:top w:val="none" w:sz="0" w:space="0" w:color="auto"/>
        <w:left w:val="none" w:sz="0" w:space="0" w:color="auto"/>
        <w:bottom w:val="none" w:sz="0" w:space="0" w:color="auto"/>
        <w:right w:val="none" w:sz="0" w:space="0" w:color="auto"/>
      </w:divBdr>
    </w:div>
    <w:div w:id="21401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shs.wa.gov/sites/default/files/rda/reports/cross-system/DSHS-RDA-Medicaid-Homelessnes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82E84F0170395499564B2D6FDE431C7" ma:contentTypeVersion="1" ma:contentTypeDescription="Create a new document." ma:contentTypeScope="" ma:versionID="8686102603fac4659fe25338ba98ca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411D-3E8B-40F4-BB99-FB38EBAEE366}">
  <ds:schemaRefs>
    <ds:schemaRef ds:uri="http://schemas.openxmlformats.org/officeDocument/2006/bibliography"/>
  </ds:schemaRefs>
</ds:datastoreItem>
</file>

<file path=customXml/itemProps2.xml><?xml version="1.0" encoding="utf-8"?>
<ds:datastoreItem xmlns:ds="http://schemas.openxmlformats.org/officeDocument/2006/customXml" ds:itemID="{FC0D46B2-96C9-444E-A652-493E5AE5F678}">
  <ds:schemaRefs>
    <ds:schemaRef ds:uri="http://schemas.openxmlformats.org/officeDocument/2006/bibliography"/>
  </ds:schemaRefs>
</ds:datastoreItem>
</file>

<file path=customXml/itemProps3.xml><?xml version="1.0" encoding="utf-8"?>
<ds:datastoreItem xmlns:ds="http://schemas.openxmlformats.org/officeDocument/2006/customXml" ds:itemID="{ADB31FD4-1E16-43D2-9632-360138E24B3B}">
  <ds:schemaRefs>
    <ds:schemaRef ds:uri="http://schemas.microsoft.com/office/2006/metadata/properties"/>
  </ds:schemaRefs>
</ds:datastoreItem>
</file>

<file path=customXml/itemProps4.xml><?xml version="1.0" encoding="utf-8"?>
<ds:datastoreItem xmlns:ds="http://schemas.openxmlformats.org/officeDocument/2006/customXml" ds:itemID="{AEFF9B3F-3528-4181-B1F1-7C231423FE6F}">
  <ds:schemaRefs>
    <ds:schemaRef ds:uri="http://schemas.microsoft.com/sharepoint/v3/contenttype/forms"/>
  </ds:schemaRefs>
</ds:datastoreItem>
</file>

<file path=customXml/itemProps5.xml><?xml version="1.0" encoding="utf-8"?>
<ds:datastoreItem xmlns:ds="http://schemas.openxmlformats.org/officeDocument/2006/customXml" ds:itemID="{F76CA4D0-A945-4936-85BD-D6BA1A1E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ECAE409-8485-4476-AC7E-354F5437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12349</Words>
  <Characters>70394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Final Demonstration Agreement Between The Centers for Medicare &amp; Medicaid Services (CMS) And The State of Washington Regarding a Federal-State Partnership to Test a Managed Fee-for-Service Financial Alignment Model for Medicare-Medicaid Enrollees HealthPa</vt:lpstr>
    </vt:vector>
  </TitlesOfParts>
  <Company>CMS</Company>
  <LinksUpToDate>false</LinksUpToDate>
  <CharactersWithSpaces>82578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Demonstration Agreement Between The Centers for Medicare &amp; Medicaid Services (CMS) And The State of Washington Regarding a Federal-State Partnership to Test a Managed Fee-for-Service Financial Alignment Model for Medicare-Medicaid Enrollees HealthPathWashington: A Medicare and Medicaid Integration Project (Managed Fee-for-Service Model) Amended December 20, 2023</dc:title>
  <dc:subject>WA FAI Final Demo Agreement Amendment (12202023)</dc:subject>
  <dc:creator>CMS-MMCO</dc:creator>
  <cp:keywords>duals, dual-eligible, Medicare-Medicaid enrollees, Washington, WA, Managed Fee-for-Service, MFFS, Financial Alignment Initiative, FAI, Demonstration, model, Centers for Medicare and Medicaid Services, CMS, HealthPathWashington, Final Demonstration Agreement, FDA, Amendment, 12202023</cp:keywords>
  <cp:lastModifiedBy>MMCO</cp:lastModifiedBy>
  <cp:revision>2</cp:revision>
  <cp:lastPrinted>2016-12-29T19:13:00Z</cp:lastPrinted>
  <dcterms:created xsi:type="dcterms:W3CDTF">2024-02-01T16:19:00Z</dcterms:created>
  <dcterms:modified xsi:type="dcterms:W3CDTF">2024-02-01T16:19:00Z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0x010100F82E84F0170395499564B2D6FDE431C7</vt:lpwstr>
  </property>
  <property fmtid="{D5CDD505-2E9C-101B-9397-08002B2CF9AE}" pid="3" name="_NewReviewCycle">
    <vt:lpwstr/>
  </property>
  <property fmtid="{D5CDD505-2E9C-101B-9397-08002B2CF9AE}" pid="4" name="MSIP_Label_1520fa42-cf58-4c22-8b93-58cf1d3bd1cb_Enabled">
    <vt:lpwstr>true</vt:lpwstr>
  </property>
  <property fmtid="{D5CDD505-2E9C-101B-9397-08002B2CF9AE}" pid="5" name="MSIP_Label_1520fa42-cf58-4c22-8b93-58cf1d3bd1cb_SetDate">
    <vt:lpwstr>2022-02-28T20:13:03Z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30849f6b-77d3-4829-b917-a2136b4cdc12</vt:lpwstr>
  </property>
  <property fmtid="{D5CDD505-2E9C-101B-9397-08002B2CF9AE}" pid="10" name="MSIP_Label_1520fa42-cf58-4c22-8b93-58cf1d3bd1cb_ContentBits">
    <vt:lpwstr>0</vt:lpwstr>
  </property>
</Properties>
</file>