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7777777" w:rsidR="00B67D1D" w:rsidRPr="00FA4775" w:rsidRDefault="00B67D1D" w:rsidP="00741097">
      <w:pPr>
        <w:pStyle w:val="Notesinitalic"/>
        <w:widowControl/>
        <w:tabs>
          <w:tab w:val="left" w:pos="0"/>
        </w:tabs>
        <w:spacing w:after="0"/>
        <w:rPr>
          <w:iCs/>
          <w:noProof/>
          <w:snapToGrid/>
          <w:lang w:val="vi-VN"/>
        </w:rPr>
      </w:pPr>
      <w:r w:rsidRPr="00FA4775">
        <w:rPr>
          <w:iCs/>
          <w:noProof/>
          <w:snapToGrid/>
          <w:lang w:val="vi-VN"/>
        </w:rPr>
        <w:t>[</w:t>
      </w:r>
      <w:r w:rsidRPr="00FA4775">
        <w:rPr>
          <w:b/>
          <w:bCs/>
          <w:iCs/>
          <w:noProof/>
          <w:snapToGrid/>
          <w:lang w:val="vi-VN"/>
        </w:rPr>
        <w:t xml:space="preserve">Legend for Model LIS Rider: </w:t>
      </w:r>
      <w:r w:rsidRPr="00FA4775">
        <w:rPr>
          <w:iCs/>
          <w:noProof/>
          <w:snapToGrid/>
          <w:lang w:val="vi-VN"/>
        </w:rPr>
        <w:tab/>
      </w:r>
    </w:p>
    <w:p w14:paraId="5FC8905C" w14:textId="77777777" w:rsidR="00B67D1D" w:rsidRPr="00FA4775" w:rsidRDefault="00B67D1D" w:rsidP="00741097">
      <w:pPr>
        <w:pStyle w:val="ListParagraph"/>
        <w:numPr>
          <w:ilvl w:val="0"/>
          <w:numId w:val="2"/>
        </w:numPr>
        <w:rPr>
          <w:i/>
          <w:noProof/>
          <w:lang w:val="vi-VN"/>
        </w:rPr>
      </w:pPr>
      <w:r w:rsidRPr="00FA4775">
        <w:rPr>
          <w:i/>
          <w:iCs/>
          <w:noProof/>
          <w:lang w:val="vi-VN"/>
        </w:rPr>
        <w:t>Variable Placeholders are located within &lt; &gt;.</w:t>
      </w:r>
    </w:p>
    <w:p w14:paraId="2C57070B" w14:textId="46D12D77" w:rsidR="00B67D1D" w:rsidRPr="00FA4775" w:rsidRDefault="00B67D1D" w:rsidP="00741097">
      <w:pPr>
        <w:pStyle w:val="Notesinitalic"/>
        <w:widowControl/>
        <w:numPr>
          <w:ilvl w:val="0"/>
          <w:numId w:val="2"/>
        </w:numPr>
        <w:spacing w:after="0"/>
        <w:rPr>
          <w:iCs/>
          <w:noProof/>
          <w:snapToGrid/>
          <w:lang w:val="vi-VN"/>
        </w:rPr>
      </w:pPr>
      <w:r w:rsidRPr="00FA4775">
        <w:rPr>
          <w:iCs/>
          <w:noProof/>
          <w:snapToGrid/>
          <w:lang w:val="vi-VN"/>
        </w:rPr>
        <w:t>Language that a sponsor may include or remove in its entirety, based on benefit design, is located within [  ].</w:t>
      </w:r>
    </w:p>
    <w:p w14:paraId="21B600DF" w14:textId="77777777" w:rsidR="00B67D1D" w:rsidRPr="00FA4775" w:rsidRDefault="00B67D1D" w:rsidP="00741097">
      <w:pPr>
        <w:pStyle w:val="Notesinitalic"/>
        <w:widowControl/>
        <w:numPr>
          <w:ilvl w:val="0"/>
          <w:numId w:val="2"/>
        </w:numPr>
        <w:spacing w:after="0"/>
        <w:rPr>
          <w:iCs/>
          <w:noProof/>
          <w:snapToGrid/>
          <w:lang w:val="vi-VN"/>
        </w:rPr>
      </w:pPr>
      <w:r w:rsidRPr="00FA4775">
        <w:rPr>
          <w:iCs/>
          <w:noProof/>
          <w:snapToGrid/>
          <w:lang w:val="vi-VN"/>
        </w:rPr>
        <w:t>Language in italics is instructions to sponsors.</w:t>
      </w:r>
    </w:p>
    <w:p w14:paraId="5E4C369D" w14:textId="7D5B5013" w:rsidR="00D4394F" w:rsidRPr="00FA4775" w:rsidRDefault="00AB54A2" w:rsidP="00741097">
      <w:pPr>
        <w:pStyle w:val="Notesinitalic"/>
        <w:widowControl/>
        <w:numPr>
          <w:ilvl w:val="0"/>
          <w:numId w:val="2"/>
        </w:numPr>
        <w:spacing w:after="0"/>
        <w:rPr>
          <w:iCs/>
          <w:noProof/>
          <w:snapToGrid/>
          <w:lang w:val="vi-VN"/>
        </w:rPr>
      </w:pPr>
      <w:r w:rsidRPr="00FA4775">
        <w:rPr>
          <w:iCs/>
          <w:noProof/>
          <w:snapToGrid/>
          <w:lang w:val="vi-VN"/>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FA4775" w:rsidRDefault="00722F9E" w:rsidP="00741097">
      <w:pPr>
        <w:pStyle w:val="Notesinitalic"/>
        <w:widowControl/>
        <w:numPr>
          <w:ilvl w:val="0"/>
          <w:numId w:val="2"/>
        </w:numPr>
        <w:spacing w:after="0"/>
        <w:rPr>
          <w:iCs/>
          <w:noProof/>
          <w:snapToGrid/>
          <w:lang w:val="vi-VN"/>
        </w:rPr>
      </w:pPr>
      <w:r w:rsidRPr="00FA4775">
        <w:rPr>
          <w:iCs/>
          <w:noProof/>
          <w:snapToGrid/>
          <w:lang w:val="vi-VN"/>
        </w:rPr>
        <w:t>D-SNPs that have $0 cost sharing for all Part D drugs are exempt from sending the LIS Rider.</w:t>
      </w:r>
    </w:p>
    <w:p w14:paraId="2CD80971" w14:textId="77777777" w:rsidR="001C3781" w:rsidRPr="00FA4775" w:rsidRDefault="001C3781" w:rsidP="00741097">
      <w:pPr>
        <w:pStyle w:val="Notesinitalic"/>
        <w:widowControl/>
        <w:spacing w:after="0"/>
        <w:ind w:left="360"/>
        <w:rPr>
          <w:iCs/>
          <w:noProof/>
          <w:snapToGrid/>
          <w:lang w:val="vi-VN"/>
        </w:rPr>
      </w:pPr>
    </w:p>
    <w:p w14:paraId="76EEF6CF" w14:textId="37FCF250" w:rsidR="00D4394F" w:rsidRPr="00FA4775" w:rsidRDefault="001C3781" w:rsidP="00741097">
      <w:pPr>
        <w:pStyle w:val="Notesinitalic"/>
        <w:widowControl/>
        <w:spacing w:after="0"/>
        <w:rPr>
          <w:noProof/>
          <w:lang w:val="vi-VN"/>
        </w:rPr>
      </w:pPr>
      <w:r w:rsidRPr="00FA4775">
        <w:rPr>
          <w:iCs/>
          <w:noProof/>
          <w:lang w:val="vi-VN"/>
        </w:rPr>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FA4775" w:rsidRDefault="00C55FC5" w:rsidP="00741097">
      <w:pPr>
        <w:pStyle w:val="Notesinitalic"/>
        <w:widowControl/>
        <w:spacing w:after="0"/>
        <w:rPr>
          <w:iCs/>
          <w:noProof/>
          <w:snapToGrid/>
          <w:lang w:val="vi-VN"/>
        </w:rPr>
      </w:pPr>
    </w:p>
    <w:p w14:paraId="592C62B7" w14:textId="60386E80" w:rsidR="00B67D1D" w:rsidRPr="00FA4775" w:rsidRDefault="003D43B9" w:rsidP="00741097">
      <w:pPr>
        <w:rPr>
          <w:noProof/>
          <w:lang w:val="vi-VN"/>
        </w:rPr>
      </w:pPr>
      <w:r w:rsidRPr="00FA4775">
        <w:rPr>
          <w:noProof/>
          <w:lang w:val="vi-VN"/>
        </w:rPr>
        <w:t>[</w:t>
      </w:r>
      <w:r w:rsidRPr="00FA4775">
        <w:rPr>
          <w:i/>
          <w:iCs/>
          <w:noProof/>
          <w:lang w:val="vi-VN"/>
        </w:rPr>
        <w:t xml:space="preserve">Insert </w:t>
      </w:r>
      <w:r w:rsidRPr="00FA4775">
        <w:rPr>
          <w:noProof/>
          <w:lang w:val="vi-VN"/>
        </w:rPr>
        <w:t>&lt;Effective date as Month Day, Calendar Year or Date Range&gt;]</w:t>
      </w:r>
    </w:p>
    <w:p w14:paraId="16D3E258" w14:textId="77777777" w:rsidR="00B67D1D" w:rsidRPr="00FA4775" w:rsidRDefault="00B67D1D" w:rsidP="00741097">
      <w:pPr>
        <w:rPr>
          <w:noProof/>
          <w:lang w:val="vi-VN"/>
        </w:rPr>
      </w:pPr>
    </w:p>
    <w:p w14:paraId="599F17F8" w14:textId="3C4035A5" w:rsidR="002D3630" w:rsidRPr="00FA4775" w:rsidRDefault="00B67D1D" w:rsidP="00741097">
      <w:pPr>
        <w:pStyle w:val="BodyText"/>
        <w:rPr>
          <w:noProof/>
          <w:lang w:val="vi-VN"/>
        </w:rPr>
      </w:pPr>
      <w:r w:rsidRPr="00FA4775">
        <w:rPr>
          <w:noProof/>
          <w:lang w:val="vi-VN"/>
        </w:rPr>
        <w:t xml:space="preserve">Phụ lục Chứng từ Bảo hiểm </w:t>
      </w:r>
    </w:p>
    <w:p w14:paraId="4767624E" w14:textId="77777777" w:rsidR="005C1A60" w:rsidRPr="00FA4775" w:rsidRDefault="00B67D1D" w:rsidP="00741097">
      <w:pPr>
        <w:pStyle w:val="BodyText"/>
        <w:rPr>
          <w:noProof/>
          <w:lang w:val="vi-VN"/>
        </w:rPr>
      </w:pPr>
      <w:r w:rsidRPr="00FA4775">
        <w:rPr>
          <w:noProof/>
          <w:lang w:val="vi-VN"/>
        </w:rPr>
        <w:t>cho Người nhận Trợ cấp Đặc biệt để Thanh toán Thuốc theo toa</w:t>
      </w:r>
    </w:p>
    <w:p w14:paraId="643322AD" w14:textId="0656D90E" w:rsidR="00F22DB4" w:rsidRPr="00FA4775" w:rsidRDefault="005C1A60" w:rsidP="00741097">
      <w:pPr>
        <w:pStyle w:val="BodyText"/>
        <w:rPr>
          <w:noProof/>
          <w:lang w:val="vi-VN"/>
        </w:rPr>
      </w:pPr>
      <w:r w:rsidRPr="00FA4775">
        <w:rPr>
          <w:noProof/>
          <w:lang w:val="vi-VN"/>
        </w:rPr>
        <w:t>(còn được gọi là Phụ lục Trợ cấp Thu nhập Thấp hoặc Phụ lục LIS)</w:t>
      </w:r>
    </w:p>
    <w:p w14:paraId="18C6269C" w14:textId="77777777" w:rsidR="00B67D1D" w:rsidRPr="00FA4775" w:rsidRDefault="00B67D1D" w:rsidP="00741097">
      <w:pPr>
        <w:rPr>
          <w:noProof/>
          <w:lang w:val="vi-VN"/>
        </w:rPr>
      </w:pPr>
    </w:p>
    <w:p w14:paraId="04C3E766" w14:textId="0B876A73" w:rsidR="00B24C1E" w:rsidRPr="00FA4775" w:rsidRDefault="00B24C1E" w:rsidP="00741097">
      <w:pPr>
        <w:rPr>
          <w:noProof/>
          <w:lang w:val="vi-VN"/>
        </w:rPr>
      </w:pPr>
      <w:r w:rsidRPr="00FA4775">
        <w:rPr>
          <w:noProof/>
          <w:lang w:val="vi-VN"/>
        </w:rPr>
        <w:t>[</w:t>
      </w:r>
      <w:r w:rsidRPr="00FA4775">
        <w:rPr>
          <w:i/>
          <w:iCs/>
          <w:noProof/>
          <w:lang w:val="vi-VN"/>
        </w:rPr>
        <w:t>Optional insert</w:t>
      </w:r>
      <w:r w:rsidRPr="00FA4775">
        <w:rPr>
          <w:noProof/>
          <w:lang w:val="vi-VN"/>
        </w:rPr>
        <w:t xml:space="preserve"> </w:t>
      </w:r>
      <w:r w:rsidR="00741097" w:rsidRPr="00FA4775">
        <w:rPr>
          <w:noProof/>
          <w:lang w:val="vi-VN"/>
        </w:rPr>
        <w:t>&lt;</w:t>
      </w:r>
      <w:r w:rsidRPr="00FA4775">
        <w:rPr>
          <w:noProof/>
          <w:lang w:val="vi-VN"/>
        </w:rPr>
        <w:t>member’s Rx BIN/PCN&gt;]</w:t>
      </w:r>
    </w:p>
    <w:p w14:paraId="6A90D46C" w14:textId="0A5BFADB" w:rsidR="00B67D1D" w:rsidRPr="00FA4775" w:rsidRDefault="00B67D1D" w:rsidP="00741097">
      <w:pPr>
        <w:rPr>
          <w:noProof/>
          <w:lang w:val="vi-VN"/>
        </w:rPr>
      </w:pPr>
      <w:r w:rsidRPr="00FA4775">
        <w:rPr>
          <w:noProof/>
          <w:lang w:val="vi-VN"/>
        </w:rPr>
        <w:t>Vui lòng giữ thông báo này - nó là một phần của Chứng từ Bảo hiểm của [</w:t>
      </w:r>
      <w:r w:rsidRPr="00FA4775">
        <w:rPr>
          <w:i/>
          <w:iCs/>
          <w:noProof/>
          <w:lang w:val="vi-VN"/>
        </w:rPr>
        <w:t xml:space="preserve">Insert </w:t>
      </w:r>
      <w:r w:rsidRPr="00FA4775">
        <w:rPr>
          <w:noProof/>
          <w:lang w:val="vi-VN"/>
        </w:rPr>
        <w:t>&lt;Plan Name&gt;’s].</w:t>
      </w:r>
    </w:p>
    <w:p w14:paraId="0ADE448A" w14:textId="77013AC2" w:rsidR="00B67D1D" w:rsidRPr="00FA4775" w:rsidRDefault="00B67D1D" w:rsidP="00741097">
      <w:pPr>
        <w:rPr>
          <w:noProof/>
          <w:lang w:val="vi-VN"/>
        </w:rPr>
      </w:pPr>
      <w:r w:rsidRPr="00FA4775">
        <w:rPr>
          <w:noProof/>
          <w:lang w:val="vi-VN"/>
        </w:rPr>
        <w:t>Hồ sơ của chúng tôi cho thấy rằng quý vị đủ điều kiện nhận trợ cấp đặc biệt thanh toán cho bảo hiểm thuốc theo toa.</w:t>
      </w:r>
      <w:r w:rsidR="00741097" w:rsidRPr="00FA4775">
        <w:rPr>
          <w:noProof/>
          <w:lang w:val="vi-VN"/>
        </w:rPr>
        <w:t xml:space="preserve"> </w:t>
      </w:r>
      <w:r w:rsidRPr="00FA4775">
        <w:rPr>
          <w:noProof/>
          <w:lang w:val="vi-VN"/>
        </w:rPr>
        <w:t>Điều này có nghĩa là quý vị nhận trợ giúp thanh toán phí bảo hiểm hàng tháng, khấu trừ hàng năm và chia sẻ chi phí thuốc kê đơn của quý vị.</w:t>
      </w:r>
    </w:p>
    <w:p w14:paraId="0BF81D8E" w14:textId="77777777" w:rsidR="00B67D1D" w:rsidRPr="00FA4775" w:rsidRDefault="00B67D1D" w:rsidP="00741097">
      <w:pPr>
        <w:rPr>
          <w:noProof/>
          <w:lang w:val="vi-VN"/>
        </w:rPr>
      </w:pPr>
    </w:p>
    <w:p w14:paraId="489285A3" w14:textId="77777777" w:rsidR="00B67D1D" w:rsidRPr="00FA4775" w:rsidRDefault="00B67D1D" w:rsidP="00741097">
      <w:pPr>
        <w:rPr>
          <w:iCs/>
          <w:noProof/>
          <w:lang w:val="vi-VN"/>
        </w:rPr>
      </w:pPr>
      <w:r w:rsidRPr="00FA4775">
        <w:rPr>
          <w:noProof/>
          <w:lang w:val="vi-VN"/>
        </w:rPr>
        <w:t>Là một hội viên Chương trình của chúng tôi, quý vị sẽ nhận được khoản bảo hiểm tương tự như những người không nhận được trợ cấp đặc biệt. Tư cách hội viên của quý vị trong Chương trình của chúng tôi sẽ không bị ảnh hưởng bởi trợ cấp đặc biệt. Điều này có nghĩa là quý vị phải làm theo mọi quy tắc và thủ tục trong Chứng từ Bảo hiểm.</w:t>
      </w:r>
    </w:p>
    <w:p w14:paraId="3C0166E2" w14:textId="77777777" w:rsidR="000F5327" w:rsidRPr="00FA4775" w:rsidRDefault="000F5327" w:rsidP="00741097">
      <w:pPr>
        <w:pStyle w:val="NormalWeb"/>
        <w:rPr>
          <w:i/>
          <w:noProof/>
          <w:lang w:val="vi-VN"/>
        </w:rPr>
      </w:pPr>
    </w:p>
    <w:p w14:paraId="4C22197F" w14:textId="1D1EA735" w:rsidR="000F5327" w:rsidRPr="00FA4775" w:rsidRDefault="000F5327" w:rsidP="00741097">
      <w:pPr>
        <w:pStyle w:val="NormalWeb"/>
        <w:rPr>
          <w:i/>
          <w:noProof/>
          <w:sz w:val="26"/>
          <w:szCs w:val="26"/>
          <w:lang w:val="vi-VN"/>
        </w:rPr>
      </w:pPr>
      <w:r w:rsidRPr="00FA4775">
        <w:rPr>
          <w:i/>
          <w:iCs/>
          <w:noProof/>
          <w:lang w:val="vi-VN"/>
        </w:rPr>
        <w:t>[Instructions to plans offering VBID reduced or eliminated cost sharing for Part D drugs targeted to LIS Enrollees:</w:t>
      </w:r>
    </w:p>
    <w:p w14:paraId="5338F507" w14:textId="77777777" w:rsidR="000F5327" w:rsidRPr="00FA4775" w:rsidRDefault="000F5327" w:rsidP="00741097">
      <w:pPr>
        <w:pStyle w:val="NormalWeb"/>
        <w:rPr>
          <w:i/>
          <w:noProof/>
          <w:sz w:val="26"/>
          <w:szCs w:val="26"/>
          <w:lang w:val="vi-VN"/>
        </w:rPr>
      </w:pPr>
    </w:p>
    <w:p w14:paraId="4B1CE9DB" w14:textId="4F806535" w:rsidR="000F5327" w:rsidRPr="00FA4775" w:rsidRDefault="000F5327" w:rsidP="00741097">
      <w:pPr>
        <w:pStyle w:val="NormalWeb"/>
        <w:rPr>
          <w:i/>
          <w:noProof/>
          <w:sz w:val="22"/>
          <w:szCs w:val="22"/>
          <w:lang w:val="vi-VN"/>
        </w:rPr>
      </w:pPr>
      <w:r w:rsidRPr="00FA4775">
        <w:rPr>
          <w:i/>
          <w:iCs/>
          <w:noProof/>
          <w:lang w:val="vi-VN"/>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FA4775" w:rsidRDefault="000F5327" w:rsidP="00741097">
      <w:pPr>
        <w:pStyle w:val="NormalWeb"/>
        <w:rPr>
          <w:i/>
          <w:noProof/>
          <w:lang w:val="vi-VN"/>
        </w:rPr>
      </w:pPr>
    </w:p>
    <w:p w14:paraId="698B3935" w14:textId="2F0A9059" w:rsidR="000F5327" w:rsidRPr="00FA4775" w:rsidRDefault="000F5327" w:rsidP="00741097">
      <w:pPr>
        <w:pStyle w:val="NormalWeb"/>
        <w:rPr>
          <w:i/>
          <w:noProof/>
          <w:lang w:val="vi-VN"/>
        </w:rPr>
      </w:pPr>
      <w:r w:rsidRPr="00FA4775">
        <w:rPr>
          <w:i/>
          <w:iCs/>
          <w:noProof/>
          <w:lang w:val="vi-VN"/>
        </w:rPr>
        <w:t>• If applicable, plans must update the Prescription Drug Chart below to reflect the VBID Part D drug benefit.]</w:t>
      </w:r>
    </w:p>
    <w:p w14:paraId="381D88C5" w14:textId="77777777" w:rsidR="00B67D1D" w:rsidRPr="00FA4775" w:rsidRDefault="00B67D1D" w:rsidP="00741097">
      <w:pPr>
        <w:pStyle w:val="NormalWeb"/>
        <w:tabs>
          <w:tab w:val="clear" w:pos="720"/>
          <w:tab w:val="clear" w:pos="1440"/>
          <w:tab w:val="clear" w:pos="2160"/>
          <w:tab w:val="clear" w:pos="2880"/>
        </w:tabs>
        <w:rPr>
          <w:noProof/>
          <w:szCs w:val="24"/>
          <w:lang w:val="vi-VN"/>
        </w:rPr>
      </w:pPr>
    </w:p>
    <w:p w14:paraId="6014BD23" w14:textId="77777777" w:rsidR="00B67D1D" w:rsidRPr="00FA4775" w:rsidRDefault="00B67D1D" w:rsidP="00741097">
      <w:pPr>
        <w:keepNext/>
        <w:rPr>
          <w:noProof/>
          <w:lang w:val="vi-VN"/>
        </w:rPr>
      </w:pPr>
      <w:r w:rsidRPr="00FA4775">
        <w:rPr>
          <w:noProof/>
          <w:lang w:val="vi-VN"/>
        </w:rPr>
        <w:lastRenderedPageBreak/>
        <w:t>Vui lòng xem bảng bên dưới để có mô tả về bảo hiểm thuốc theo toa của quý vị:</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Mô tả về bảo hiểm thuốc theo toa của quý vị"/>
        <w:tblDescription w:val="Mô tả về bảo hiểm thuốc theo toa của quý vị"/>
      </w:tblPr>
      <w:tblGrid>
        <w:gridCol w:w="1345"/>
        <w:gridCol w:w="1351"/>
        <w:gridCol w:w="2943"/>
        <w:gridCol w:w="2991"/>
      </w:tblGrid>
      <w:tr w:rsidR="009026EC" w:rsidRPr="00FA4775" w14:paraId="44FF221B" w14:textId="77777777" w:rsidTr="00DD5022">
        <w:trPr>
          <w:trHeight w:val="887"/>
        </w:trPr>
        <w:tc>
          <w:tcPr>
            <w:tcW w:w="779" w:type="pct"/>
            <w:vAlign w:val="center"/>
          </w:tcPr>
          <w:p w14:paraId="16A8E42C" w14:textId="77777777" w:rsidR="00B67D1D" w:rsidRPr="00FA4775" w:rsidRDefault="00B67D1D" w:rsidP="00741097">
            <w:pPr>
              <w:autoSpaceDE w:val="0"/>
              <w:autoSpaceDN w:val="0"/>
              <w:adjustRightInd w:val="0"/>
              <w:jc w:val="center"/>
              <w:rPr>
                <w:noProof/>
                <w:lang w:val="vi-VN"/>
              </w:rPr>
            </w:pPr>
            <w:r w:rsidRPr="00FA4775">
              <w:rPr>
                <w:b/>
                <w:bCs/>
                <w:noProof/>
                <w:szCs w:val="20"/>
                <w:lang w:val="vi-VN"/>
              </w:rPr>
              <w:t>Phí bảo hiểm chương trình hàng tháng của quý vị là</w:t>
            </w:r>
          </w:p>
        </w:tc>
        <w:tc>
          <w:tcPr>
            <w:tcW w:w="783" w:type="pct"/>
            <w:vAlign w:val="center"/>
          </w:tcPr>
          <w:p w14:paraId="68463A82" w14:textId="77777777" w:rsidR="00B67D1D" w:rsidRPr="00FA4775" w:rsidRDefault="00B67D1D" w:rsidP="00741097">
            <w:pPr>
              <w:pStyle w:val="BodyText2"/>
              <w:framePr w:hSpace="0" w:wrap="auto" w:vAnchor="margin" w:xAlign="left" w:yAlign="inline"/>
              <w:suppressOverlap w:val="0"/>
              <w:jc w:val="center"/>
              <w:rPr>
                <w:rFonts w:asciiTheme="majorHAnsi" w:eastAsiaTheme="majorEastAsia" w:hAnsiTheme="majorHAnsi" w:cstheme="majorBidi"/>
                <w:noProof/>
                <w:color w:val="365F91" w:themeColor="accent1" w:themeShade="BF"/>
                <w:sz w:val="28"/>
                <w:lang w:val="vi-VN"/>
              </w:rPr>
            </w:pPr>
            <w:r w:rsidRPr="00FA4775">
              <w:rPr>
                <w:noProof/>
                <w:lang w:val="vi-VN"/>
              </w:rPr>
              <w:t>Khoản khấu trừ hàng năm của quý vị là</w:t>
            </w:r>
          </w:p>
        </w:tc>
        <w:tc>
          <w:tcPr>
            <w:tcW w:w="1705" w:type="pct"/>
            <w:vAlign w:val="center"/>
          </w:tcPr>
          <w:p w14:paraId="693F74DA" w14:textId="4BD64EDE" w:rsidR="00B67D1D" w:rsidRPr="00FA4775" w:rsidRDefault="00B67D1D" w:rsidP="00741097">
            <w:pPr>
              <w:autoSpaceDE w:val="0"/>
              <w:autoSpaceDN w:val="0"/>
              <w:adjustRightInd w:val="0"/>
              <w:jc w:val="center"/>
              <w:rPr>
                <w:b/>
                <w:bCs/>
                <w:noProof/>
                <w:lang w:val="vi-VN"/>
              </w:rPr>
            </w:pPr>
            <w:r w:rsidRPr="00FA4775">
              <w:rPr>
                <w:b/>
                <w:bCs/>
                <w:noProof/>
                <w:lang w:val="vi-VN"/>
              </w:rPr>
              <w:t>Số tiền chia sẻ chi phí của quý vị cho các loại thuốc gốc/thuốc đa nguồn ưu tiên không quá</w:t>
            </w:r>
          </w:p>
        </w:tc>
        <w:tc>
          <w:tcPr>
            <w:tcW w:w="1734" w:type="pct"/>
            <w:vAlign w:val="center"/>
          </w:tcPr>
          <w:p w14:paraId="4272B10D" w14:textId="779C6A72" w:rsidR="00B67D1D" w:rsidRPr="00FA4775" w:rsidRDefault="00B67D1D" w:rsidP="00741097">
            <w:pPr>
              <w:autoSpaceDE w:val="0"/>
              <w:autoSpaceDN w:val="0"/>
              <w:adjustRightInd w:val="0"/>
              <w:jc w:val="center"/>
              <w:rPr>
                <w:b/>
                <w:bCs/>
                <w:noProof/>
                <w:lang w:val="vi-VN"/>
              </w:rPr>
            </w:pPr>
            <w:r w:rsidRPr="00FA4775">
              <w:rPr>
                <w:b/>
                <w:bCs/>
                <w:noProof/>
                <w:lang w:val="vi-VN"/>
              </w:rPr>
              <w:t>Số tiền chia sẻ chi phí của quý vị cho tất cả các loại thuốc khác không quá</w:t>
            </w:r>
          </w:p>
        </w:tc>
      </w:tr>
      <w:tr w:rsidR="009026EC" w:rsidRPr="00FA4775" w14:paraId="22EC5E30" w14:textId="77777777" w:rsidTr="00DD5022">
        <w:trPr>
          <w:trHeight w:val="863"/>
        </w:trPr>
        <w:tc>
          <w:tcPr>
            <w:tcW w:w="779" w:type="pct"/>
          </w:tcPr>
          <w:p w14:paraId="0ACC2C3F" w14:textId="77777777" w:rsidR="00B67D1D" w:rsidRPr="00FA4775" w:rsidRDefault="00B67D1D" w:rsidP="00741097">
            <w:pPr>
              <w:autoSpaceDE w:val="0"/>
              <w:autoSpaceDN w:val="0"/>
              <w:adjustRightInd w:val="0"/>
              <w:rPr>
                <w:noProof/>
                <w:szCs w:val="20"/>
                <w:lang w:val="vi-VN"/>
              </w:rPr>
            </w:pPr>
            <w:r w:rsidRPr="00FA4775">
              <w:rPr>
                <w:noProof/>
                <w:lang w:val="vi-VN"/>
              </w:rPr>
              <w:t>&lt;Insert applicable amount&gt;*</w:t>
            </w:r>
          </w:p>
          <w:p w14:paraId="55CA1679" w14:textId="77777777" w:rsidR="00B67D1D" w:rsidRPr="00FA4775" w:rsidRDefault="00B67D1D" w:rsidP="00741097">
            <w:pPr>
              <w:pStyle w:val="BalloonText"/>
              <w:rPr>
                <w:noProof/>
                <w:lang w:val="vi-VN"/>
              </w:rPr>
            </w:pPr>
          </w:p>
        </w:tc>
        <w:tc>
          <w:tcPr>
            <w:tcW w:w="783" w:type="pct"/>
          </w:tcPr>
          <w:p w14:paraId="44CCF287" w14:textId="0EF05C4C" w:rsidR="00B67D1D" w:rsidRPr="00FA4775" w:rsidRDefault="00B67D1D" w:rsidP="00741097">
            <w:pPr>
              <w:autoSpaceDE w:val="0"/>
              <w:autoSpaceDN w:val="0"/>
              <w:adjustRightInd w:val="0"/>
              <w:rPr>
                <w:noProof/>
                <w:szCs w:val="20"/>
                <w:lang w:val="vi-VN"/>
              </w:rPr>
            </w:pPr>
            <w:r w:rsidRPr="00FA4775">
              <w:rPr>
                <w:b/>
                <w:bCs/>
                <w:noProof/>
                <w:lang w:val="vi-VN"/>
              </w:rPr>
              <w:t>&lt;</w:t>
            </w:r>
            <w:r w:rsidRPr="00FA4775">
              <w:rPr>
                <w:noProof/>
                <w:lang w:val="vi-VN"/>
              </w:rPr>
              <w:t>$0&gt;</w:t>
            </w:r>
          </w:p>
          <w:p w14:paraId="05810554" w14:textId="77777777" w:rsidR="00B67D1D" w:rsidRPr="00FA4775" w:rsidRDefault="00B67D1D" w:rsidP="00741097">
            <w:pPr>
              <w:pStyle w:val="BalloonText"/>
              <w:rPr>
                <w:noProof/>
                <w:lang w:val="vi-VN"/>
              </w:rPr>
            </w:pPr>
          </w:p>
        </w:tc>
        <w:tc>
          <w:tcPr>
            <w:tcW w:w="1705" w:type="pct"/>
          </w:tcPr>
          <w:p w14:paraId="41B62AA7" w14:textId="1FAFF307" w:rsidR="00B67D1D" w:rsidRPr="00FA4775" w:rsidRDefault="00B67D1D" w:rsidP="00741097">
            <w:pPr>
              <w:autoSpaceDE w:val="0"/>
              <w:autoSpaceDN w:val="0"/>
              <w:adjustRightInd w:val="0"/>
              <w:rPr>
                <w:rFonts w:ascii="TimesNewRomanPS" w:hAnsi="TimesNewRomanPS" w:cs="TimesNewRomanPS"/>
                <w:noProof/>
                <w:color w:val="000000"/>
                <w:sz w:val="20"/>
                <w:szCs w:val="20"/>
                <w:lang w:val="vi-VN"/>
              </w:rPr>
            </w:pPr>
            <w:bookmarkStart w:id="0" w:name="OLE_LINK1"/>
            <w:r w:rsidRPr="00FA4775">
              <w:rPr>
                <w:noProof/>
                <w:lang w:val="vi-VN"/>
              </w:rPr>
              <w:t xml:space="preserve">&lt;$0/$1.55/$4.50&gt; </w:t>
            </w:r>
            <w:r w:rsidRPr="00FA4775">
              <w:rPr>
                <w:noProof/>
                <w:color w:val="231F20"/>
                <w:lang w:val="vi-VN"/>
              </w:rPr>
              <w:t>(</w:t>
            </w:r>
            <w:bookmarkEnd w:id="0"/>
            <w:r w:rsidRPr="00FA4775">
              <w:rPr>
                <w:noProof/>
                <w:color w:val="231F20"/>
                <w:lang w:val="vi-VN"/>
              </w:rPr>
              <w:t>mỗi toa thuốc)</w:t>
            </w:r>
          </w:p>
          <w:p w14:paraId="048F18EC" w14:textId="77777777" w:rsidR="00B67D1D" w:rsidRPr="00FA4775" w:rsidRDefault="00B67D1D" w:rsidP="00741097">
            <w:pPr>
              <w:pStyle w:val="BalloonText"/>
              <w:rPr>
                <w:noProof/>
                <w:lang w:val="vi-VN"/>
              </w:rPr>
            </w:pPr>
          </w:p>
        </w:tc>
        <w:tc>
          <w:tcPr>
            <w:tcW w:w="1734" w:type="pct"/>
          </w:tcPr>
          <w:p w14:paraId="00BBB775" w14:textId="7C2E9867" w:rsidR="00B67D1D" w:rsidRPr="00FA4775" w:rsidRDefault="00B67D1D" w:rsidP="00741097">
            <w:pPr>
              <w:autoSpaceDE w:val="0"/>
              <w:autoSpaceDN w:val="0"/>
              <w:adjustRightInd w:val="0"/>
              <w:rPr>
                <w:noProof/>
                <w:lang w:val="vi-VN"/>
              </w:rPr>
            </w:pPr>
            <w:r w:rsidRPr="00FA4775">
              <w:rPr>
                <w:b/>
                <w:bCs/>
                <w:noProof/>
                <w:lang w:val="vi-VN"/>
              </w:rPr>
              <w:t>&lt;</w:t>
            </w:r>
            <w:r w:rsidRPr="00FA4775">
              <w:rPr>
                <w:noProof/>
                <w:lang w:val="vi-VN"/>
              </w:rPr>
              <w:t>$0/$4.60/$11.20&gt; (mỗi toa thuốc)</w:t>
            </w:r>
          </w:p>
          <w:p w14:paraId="3C79ACF1" w14:textId="77777777" w:rsidR="00B67D1D" w:rsidRPr="00FA4775" w:rsidRDefault="00B67D1D" w:rsidP="00741097">
            <w:pPr>
              <w:autoSpaceDE w:val="0"/>
              <w:autoSpaceDN w:val="0"/>
              <w:adjustRightInd w:val="0"/>
              <w:rPr>
                <w:noProof/>
                <w:lang w:val="vi-VN"/>
              </w:rPr>
            </w:pPr>
          </w:p>
        </w:tc>
      </w:tr>
    </w:tbl>
    <w:p w14:paraId="60E62510" w14:textId="77777777" w:rsidR="00B67D1D" w:rsidRPr="00FA4775" w:rsidRDefault="00B67D1D" w:rsidP="00741097">
      <w:pPr>
        <w:rPr>
          <w:noProof/>
          <w:lang w:val="vi-VN"/>
        </w:rPr>
      </w:pPr>
    </w:p>
    <w:p w14:paraId="7828B78B" w14:textId="64963604" w:rsidR="00B67D1D" w:rsidRPr="00FA4775" w:rsidRDefault="00AE7A54" w:rsidP="00741097">
      <w:pPr>
        <w:autoSpaceDE w:val="0"/>
        <w:autoSpaceDN w:val="0"/>
        <w:adjustRightInd w:val="0"/>
        <w:rPr>
          <w:i/>
          <w:noProof/>
          <w:lang w:val="vi-VN"/>
        </w:rPr>
      </w:pPr>
      <w:r w:rsidRPr="00FA4775">
        <w:rPr>
          <w:i/>
          <w:iCs/>
          <w:noProof/>
          <w:lang w:val="vi-VN"/>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FA4775">
        <w:rPr>
          <w:noProof/>
          <w:lang w:val="vi-VN"/>
        </w:rPr>
        <w:t xml:space="preserve">. </w:t>
      </w:r>
      <w:r w:rsidRPr="00FA4775">
        <w:rPr>
          <w:i/>
          <w:iCs/>
          <w:noProof/>
          <w:lang w:val="vi-VN"/>
        </w:rPr>
        <w:t>For example, if the member qualifies for a $4.50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4D163C71" w14:textId="77777777" w:rsidR="00B67D1D" w:rsidRPr="00FA4775" w:rsidRDefault="00B67D1D" w:rsidP="00741097">
      <w:pPr>
        <w:autoSpaceDE w:val="0"/>
        <w:autoSpaceDN w:val="0"/>
        <w:adjustRightInd w:val="0"/>
        <w:rPr>
          <w:rFonts w:ascii="Arial" w:hAnsi="Arial" w:cs="Arial"/>
          <w:i/>
          <w:noProof/>
          <w:lang w:val="vi-VN"/>
        </w:rPr>
      </w:pPr>
    </w:p>
    <w:p w14:paraId="69199915" w14:textId="36BFDC6F" w:rsidR="00B67D1D" w:rsidRPr="00FA4775" w:rsidRDefault="00B67D1D" w:rsidP="00741097">
      <w:pPr>
        <w:tabs>
          <w:tab w:val="left" w:pos="0"/>
        </w:tabs>
        <w:autoSpaceDE w:val="0"/>
        <w:autoSpaceDN w:val="0"/>
        <w:adjustRightInd w:val="0"/>
        <w:jc w:val="both"/>
        <w:rPr>
          <w:noProof/>
          <w:lang w:val="vi-VN"/>
        </w:rPr>
      </w:pPr>
      <w:r w:rsidRPr="00FA4775">
        <w:rPr>
          <w:noProof/>
          <w:lang w:val="vi-VN"/>
        </w:rPr>
        <w:t xml:space="preserve">* Phí bảo hiểm chương trình hàng tháng không bao gồm phí bảo hiểm Phần B Medicare mà quý vị có thể vẫn cần phải thanh toán. Phí bảo hiểm chương trình quý vị trả đã được tính dựa trên phí bảo hiểm của Chương trình và số tiền trợ cấp đặc biệt quý vị nhận được. </w:t>
      </w:r>
    </w:p>
    <w:p w14:paraId="1612B943" w14:textId="77777777" w:rsidR="00B67D1D" w:rsidRPr="00FA4775" w:rsidRDefault="00B67D1D" w:rsidP="00741097">
      <w:pPr>
        <w:tabs>
          <w:tab w:val="left" w:pos="0"/>
        </w:tabs>
        <w:autoSpaceDE w:val="0"/>
        <w:autoSpaceDN w:val="0"/>
        <w:adjustRightInd w:val="0"/>
        <w:jc w:val="both"/>
        <w:rPr>
          <w:noProof/>
          <w:lang w:val="vi-VN"/>
        </w:rPr>
      </w:pPr>
    </w:p>
    <w:p w14:paraId="009CCF6A" w14:textId="4F270CD8" w:rsidR="00B67D1D" w:rsidRPr="00FA4775" w:rsidRDefault="00B67D1D" w:rsidP="00856731">
      <w:pPr>
        <w:tabs>
          <w:tab w:val="left" w:pos="0"/>
        </w:tabs>
        <w:autoSpaceDE w:val="0"/>
        <w:autoSpaceDN w:val="0"/>
        <w:adjustRightInd w:val="0"/>
        <w:jc w:val="both"/>
        <w:rPr>
          <w:noProof/>
          <w:lang w:val="vi-VN"/>
        </w:rPr>
      </w:pPr>
      <w:r w:rsidRPr="00FA4775">
        <w:rPr>
          <w:noProof/>
          <w:lang w:val="vi-VN"/>
        </w:rPr>
        <w:t xml:space="preserve">Vui lòng tham khảo Chứng </w:t>
      </w:r>
      <w:r w:rsidR="00856731" w:rsidRPr="00FA4775">
        <w:rPr>
          <w:noProof/>
          <w:lang w:val="vi-VN"/>
        </w:rPr>
        <w:t xml:space="preserve">từ </w:t>
      </w:r>
      <w:r w:rsidRPr="00FA4775">
        <w:rPr>
          <w:noProof/>
          <w:lang w:val="vi-VN"/>
        </w:rPr>
        <w:t>Bảo hiểm của quý vị để biết thêm thông tin về thanh toán phí bảo hiểm chương trình của quý vị.</w:t>
      </w:r>
    </w:p>
    <w:p w14:paraId="47D4A7DC" w14:textId="77777777" w:rsidR="008078A7" w:rsidRPr="00FA4775" w:rsidRDefault="008078A7" w:rsidP="00741097">
      <w:pPr>
        <w:tabs>
          <w:tab w:val="left" w:pos="0"/>
        </w:tabs>
        <w:autoSpaceDE w:val="0"/>
        <w:autoSpaceDN w:val="0"/>
        <w:adjustRightInd w:val="0"/>
        <w:jc w:val="both"/>
        <w:rPr>
          <w:noProof/>
          <w:lang w:val="vi-VN"/>
        </w:rPr>
      </w:pPr>
    </w:p>
    <w:p w14:paraId="2CA72CBA" w14:textId="392BD4F4" w:rsidR="000F5327" w:rsidRPr="00FA4775" w:rsidRDefault="000F5327" w:rsidP="00741097">
      <w:pPr>
        <w:rPr>
          <w:i/>
          <w:noProof/>
          <w:lang w:val="vi-VN"/>
        </w:rPr>
      </w:pPr>
      <w:r w:rsidRPr="00FA4775">
        <w:rPr>
          <w:i/>
          <w:iCs/>
          <w:noProof/>
          <w:lang w:val="vi-VN"/>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FA4775" w:rsidRDefault="000F5327" w:rsidP="00741097">
      <w:pPr>
        <w:rPr>
          <w:i/>
          <w:noProof/>
          <w:lang w:val="vi-VN"/>
        </w:rPr>
      </w:pPr>
    </w:p>
    <w:p w14:paraId="02F249B1" w14:textId="03F1C8D9" w:rsidR="00796C1B" w:rsidRPr="00FA4775" w:rsidRDefault="00796C1B" w:rsidP="00741097">
      <w:pPr>
        <w:rPr>
          <w:i/>
          <w:noProof/>
          <w:spacing w:val="-2"/>
          <w:lang w:val="vi-VN"/>
        </w:rPr>
      </w:pPr>
      <w:r w:rsidRPr="00FA4775">
        <w:rPr>
          <w:i/>
          <w:iCs/>
          <w:noProof/>
          <w:spacing w:val="-2"/>
          <w:lang w:val="vi-VN"/>
        </w:rPr>
        <w:t xml:space="preserve">[Insert this statement for a benefit structure with $0 generic copayment that does not extend past the ICL: </w:t>
      </w:r>
      <w:r w:rsidRPr="00FA4775">
        <w:rPr>
          <w:noProof/>
          <w:spacing w:val="-2"/>
          <w:lang w:val="vi-VN"/>
        </w:rPr>
        <w:t>Khi các khoản tiền mà quý vị và/hoặc người khác thay mặt quý vị trả đạt $&lt;ICL&gt; quý vị sẽ bắt đầu trả [&lt;$1.55 / $4.50&gt; (đối với thuốc đa nguồn gốc và ưu tiên.]</w:t>
      </w:r>
    </w:p>
    <w:p w14:paraId="6E670CF0" w14:textId="77777777" w:rsidR="00796C1B" w:rsidRPr="00FA4775" w:rsidRDefault="00796C1B" w:rsidP="00741097">
      <w:pPr>
        <w:ind w:left="720"/>
        <w:rPr>
          <w:i/>
          <w:noProof/>
          <w:lang w:val="vi-VN"/>
        </w:rPr>
      </w:pPr>
    </w:p>
    <w:p w14:paraId="2F49E6AA" w14:textId="18444755" w:rsidR="00B67D1D" w:rsidRPr="00FA4775" w:rsidRDefault="00796C1B" w:rsidP="00741097">
      <w:pPr>
        <w:rPr>
          <w:noProof/>
          <w:lang w:val="vi-VN"/>
        </w:rPr>
      </w:pPr>
      <w:r w:rsidRPr="00FA4775">
        <w:rPr>
          <w:noProof/>
          <w:lang w:val="vi-VN"/>
        </w:rPr>
        <w:t xml:space="preserve">Khi số tiền mà cả quý vị và Medicare phải trả (như khoản trợ cấp thêm) đạt $8,000 trong một năm, (các) số tiền đồng thanh toán của quý vị sẽ giảm xuống </w:t>
      </w:r>
      <w:bookmarkStart w:id="1" w:name="_Hlk134182399"/>
      <w:r w:rsidRPr="00FA4775">
        <w:rPr>
          <w:noProof/>
          <w:lang w:val="vi-VN"/>
        </w:rPr>
        <w:t>&lt;$0 mỗi đơn thuốc/$4.50 cho các thuốc gốc và thuốc thương hiệu ưu tiên đa nguồn, hoặc $11.20 cho tất cả các thuốc khác&gt;.</w:t>
      </w:r>
      <w:bookmarkEnd w:id="1"/>
    </w:p>
    <w:p w14:paraId="1AF0ECA1" w14:textId="77777777" w:rsidR="00DD5022" w:rsidRPr="00FA4775" w:rsidRDefault="00DD5022" w:rsidP="00741097">
      <w:pPr>
        <w:rPr>
          <w:noProof/>
          <w:lang w:val="vi-VN"/>
        </w:rPr>
      </w:pPr>
    </w:p>
    <w:p w14:paraId="4122CFFD" w14:textId="0E7150F0" w:rsidR="00B67D1D" w:rsidRPr="00FA4775" w:rsidRDefault="00B67D1D" w:rsidP="00741097">
      <w:pPr>
        <w:rPr>
          <w:noProof/>
          <w:lang w:val="vi-VN"/>
        </w:rPr>
      </w:pPr>
      <w:r w:rsidRPr="00FA4775">
        <w:rPr>
          <w:noProof/>
          <w:lang w:val="vi-VN"/>
        </w:rPr>
        <w:t>[</w:t>
      </w:r>
      <w:r w:rsidRPr="00FA4775">
        <w:rPr>
          <w:i/>
          <w:iCs/>
          <w:noProof/>
          <w:lang w:val="vi-VN"/>
        </w:rPr>
        <w:t>Insert this statement for a benefit structure with $0 generic copayment that does not extend past the ICL should include the following statement:</w:t>
      </w:r>
      <w:r w:rsidRPr="00FA4775">
        <w:rPr>
          <w:noProof/>
          <w:lang w:val="vi-VN"/>
        </w:rPr>
        <w:t xml:space="preserve"> Khi các khoản tiền mà quý vị và/hoặc người khác thay mặt quý vị trả đạt $&lt;ICL&gt; quý vị sẽ bắt đầu trả [&lt;$1.55 / $4.50&gt; </w:t>
      </w:r>
      <w:r w:rsidRPr="00FA4775">
        <w:rPr>
          <w:rFonts w:ascii="TimesNewRomanPS" w:hAnsi="TimesNewRomanPS"/>
          <w:noProof/>
          <w:color w:val="231F20"/>
          <w:sz w:val="22"/>
          <w:szCs w:val="22"/>
          <w:lang w:val="vi-VN"/>
        </w:rPr>
        <w:t>(</w:t>
      </w:r>
      <w:r w:rsidRPr="00FA4775">
        <w:rPr>
          <w:noProof/>
          <w:lang w:val="vi-VN"/>
        </w:rPr>
        <w:t>đối với thuốc đa nguồn gốc và ưu tiên.]</w:t>
      </w:r>
    </w:p>
    <w:p w14:paraId="6F91FAA5" w14:textId="77777777" w:rsidR="00B67D1D" w:rsidRPr="00FA4775" w:rsidRDefault="00B67D1D" w:rsidP="00741097">
      <w:pPr>
        <w:rPr>
          <w:noProof/>
          <w:lang w:val="vi-VN"/>
        </w:rPr>
      </w:pPr>
    </w:p>
    <w:p w14:paraId="4E496EB2" w14:textId="1273170E" w:rsidR="00B67D1D" w:rsidRPr="00FA4775" w:rsidRDefault="00B67D1D" w:rsidP="00741097">
      <w:pPr>
        <w:rPr>
          <w:iCs/>
          <w:noProof/>
          <w:lang w:val="vi-VN"/>
        </w:rPr>
      </w:pPr>
      <w:r w:rsidRPr="00FA4775">
        <w:rPr>
          <w:noProof/>
          <w:lang w:val="vi-VN"/>
        </w:rPr>
        <w:t>[</w:t>
      </w:r>
      <w:r w:rsidRPr="00FA4775">
        <w:rPr>
          <w:i/>
          <w:iCs/>
          <w:noProof/>
          <w:lang w:val="vi-VN"/>
        </w:rPr>
        <w:t xml:space="preserve">Insert the following if this EOC is for your enhanced prescription benefit and you cover non-Part D drugs as part of your benefit: </w:t>
      </w:r>
      <w:r w:rsidRPr="00FA4775">
        <w:rPr>
          <w:noProof/>
          <w:lang w:val="vi-VN"/>
        </w:rPr>
        <w:t xml:space="preserve">Chúng tôi cung cấp bảo hiểm của một số thuốc theo toa bổ sung thường không được bao trả trong Chương trình Thuốc Kê đơn của Medicare. Quý vị sẽ không nhận được bất kỳ trợ cấp thêm nào để thanh toán cho các loại thuốc này. Số tiền đồng thanh toán/đồng bảo hiểm của quý vị cho các loại thuốc này như sau: </w:t>
      </w:r>
      <w:r w:rsidRPr="00FA4775">
        <w:rPr>
          <w:i/>
          <w:iCs/>
          <w:noProof/>
          <w:lang w:val="vi-VN"/>
        </w:rPr>
        <w:t>[Insert cost-sharing structure for supplemental drugs covered under their enhanced alternative prescription benefit.]</w:t>
      </w:r>
    </w:p>
    <w:p w14:paraId="72288C16" w14:textId="77777777" w:rsidR="00B67D1D" w:rsidRPr="00FA4775" w:rsidRDefault="00B67D1D" w:rsidP="00741097">
      <w:pPr>
        <w:rPr>
          <w:i/>
          <w:iCs/>
          <w:noProof/>
          <w:lang w:val="vi-VN"/>
        </w:rPr>
      </w:pPr>
    </w:p>
    <w:p w14:paraId="189317A3" w14:textId="5276AAF8" w:rsidR="00B67D1D" w:rsidRPr="00FA4775" w:rsidRDefault="00B67D1D" w:rsidP="00741097">
      <w:pPr>
        <w:rPr>
          <w:iCs/>
          <w:noProof/>
          <w:lang w:val="vi-VN"/>
        </w:rPr>
      </w:pPr>
      <w:r w:rsidRPr="00FA4775">
        <w:rPr>
          <w:noProof/>
          <w:lang w:val="vi-VN"/>
        </w:rPr>
        <w:t>Ngoài ra, số tiền quý vị thanh toán khi quý vị mua thuốc theo toa cho các thuốc không phải Phần D này (thuốc bổ sung) không được tính vào [</w:t>
      </w:r>
      <w:r w:rsidRPr="00FA4775">
        <w:rPr>
          <w:i/>
          <w:iCs/>
          <w:noProof/>
          <w:lang w:val="vi-VN"/>
        </w:rPr>
        <w:t xml:space="preserve">Insert when applicable </w:t>
      </w:r>
      <w:r w:rsidRPr="00FA4775">
        <w:rPr>
          <w:noProof/>
          <w:lang w:val="vi-VN"/>
        </w:rPr>
        <w:t>&lt;deductible,&gt;]tổng chi phí thuốc hoặc tổng chi phí xuất túi (có nghĩa là số tiền quý vị chi trả không giúp quý vị tính vào quyền lợi hoặc đạt được bảo hiểm tai ương). Vui lòng liên lạc với[</w:t>
      </w:r>
      <w:r w:rsidRPr="00FA4775">
        <w:rPr>
          <w:i/>
          <w:iCs/>
          <w:noProof/>
          <w:lang w:val="vi-VN"/>
        </w:rPr>
        <w:t>Insert</w:t>
      </w:r>
      <w:r w:rsidRPr="00FA4775">
        <w:rPr>
          <w:noProof/>
          <w:lang w:val="vi-VN"/>
        </w:rPr>
        <w:t xml:space="preserve"> one &lt;us&gt; &lt;applicable title for Member/Customer Service&gt;] để tìm hiểu xem loại thuốc nào điều này áp dụng. Thông tin liên lạc của chúng tôi sẽ xuất hiện vào cuối thông báo này.</w:t>
      </w:r>
    </w:p>
    <w:p w14:paraId="5DFE9491" w14:textId="77777777" w:rsidR="00B67D1D" w:rsidRPr="00FA4775" w:rsidRDefault="00B67D1D" w:rsidP="00741097">
      <w:pPr>
        <w:autoSpaceDE w:val="0"/>
        <w:autoSpaceDN w:val="0"/>
        <w:adjustRightInd w:val="0"/>
        <w:rPr>
          <w:noProof/>
          <w:lang w:val="vi-VN"/>
        </w:rPr>
      </w:pPr>
    </w:p>
    <w:p w14:paraId="0A965C0A" w14:textId="2C3ABE7C" w:rsidR="00B67D1D" w:rsidRPr="00FA4775" w:rsidRDefault="00B67D1D" w:rsidP="00741097">
      <w:pPr>
        <w:rPr>
          <w:noProof/>
          <w:lang w:val="vi-VN"/>
        </w:rPr>
      </w:pPr>
      <w:r w:rsidRPr="00FA4775">
        <w:rPr>
          <w:noProof/>
          <w:lang w:val="vi-VN"/>
        </w:rPr>
        <w:t xml:space="preserve">Khi số tiền mà cả quý vị </w:t>
      </w:r>
      <w:r w:rsidRPr="00FA4775">
        <w:rPr>
          <w:b/>
          <w:bCs/>
          <w:noProof/>
          <w:u w:val="single"/>
          <w:lang w:val="vi-VN"/>
        </w:rPr>
        <w:t>và</w:t>
      </w:r>
      <w:r w:rsidRPr="00FA4775">
        <w:rPr>
          <w:noProof/>
          <w:lang w:val="vi-VN"/>
        </w:rPr>
        <w:t xml:space="preserve"> Medicare phải trả (như khoản trợ cấp thêm) đạt $8,000 trong một năm, (các) số tiền đồng thanh toán của quý vị sẽ giảm xuống &lt;$0 mỗi đơn thuốc/ $4.50 cho các thuốc gốc và thuốc thương hiệu ưu tiên đa nguồn, hoặc $11.20 cho tất cả các thuốc khác&gt;.</w:t>
      </w:r>
    </w:p>
    <w:p w14:paraId="4555AB8C" w14:textId="77777777" w:rsidR="00B67D1D" w:rsidRPr="00FA4775" w:rsidRDefault="00B67D1D" w:rsidP="00741097">
      <w:pPr>
        <w:autoSpaceDE w:val="0"/>
        <w:autoSpaceDN w:val="0"/>
        <w:adjustRightInd w:val="0"/>
        <w:rPr>
          <w:noProof/>
          <w:lang w:val="vi-VN"/>
        </w:rPr>
      </w:pPr>
    </w:p>
    <w:p w14:paraId="02A2F161" w14:textId="37E76DDA" w:rsidR="00B67D1D" w:rsidRPr="00FA4775" w:rsidRDefault="00B67D1D" w:rsidP="00812F0C">
      <w:pPr>
        <w:rPr>
          <w:noProof/>
          <w:lang w:val="vi-VN"/>
        </w:rPr>
      </w:pPr>
      <w:r w:rsidRPr="00FA4775">
        <w:rPr>
          <w:noProof/>
          <w:lang w:val="vi-VN"/>
        </w:rPr>
        <w:t>[</w:t>
      </w:r>
      <w:r w:rsidRPr="00FA4775">
        <w:rPr>
          <w:i/>
          <w:iCs/>
          <w:noProof/>
          <w:lang w:val="vi-VN"/>
        </w:rPr>
        <w:t>Insert</w:t>
      </w:r>
      <w:r w:rsidRPr="00FA4775">
        <w:rPr>
          <w:rStyle w:val="Emphasis"/>
          <w:noProof/>
          <w:lang w:val="vi-VN"/>
        </w:rPr>
        <w:t xml:space="preserve"> this statement for LIS members who have an increase in their cost sharing, premium, and/or deductible level: </w:t>
      </w:r>
      <w:r w:rsidRPr="00FA4775">
        <w:rPr>
          <w:noProof/>
          <w:lang w:val="vi-VN"/>
        </w:rPr>
        <w:t xml:space="preserve">Những thay đổi đối với chi phí thuốc theo toa của quý vị bắt đầu từ ngày có hiệu lực ở đầu thư này. Khi quý vị nhận thư này có thể đã quá ngày có hiệu lực. Nếu quý vị đã mua thuốc theo toa kể từ ngày này, quý vị có thể đã bị tính phí thấp hơn mức quý vị lẽ ra phải trả với tư cách là </w:t>
      </w:r>
      <w:r w:rsidR="00812F0C" w:rsidRPr="00FA4775">
        <w:rPr>
          <w:noProof/>
          <w:lang w:val="vi-VN"/>
        </w:rPr>
        <w:t>hội viên</w:t>
      </w:r>
      <w:r w:rsidRPr="00FA4775">
        <w:rPr>
          <w:noProof/>
          <w:lang w:val="vi-VN"/>
        </w:rPr>
        <w:t xml:space="preserve"> của chương trình của chúng tôi. Ngoài ra, nếu phí bảo hiểm của quý vị tăng lên, quý vị có thể đã không trả đủ. Nếu quý vị nợ chúng tôi tiền, chúng tôi sẽ thông báo cho quý vị số tiền. </w:t>
      </w:r>
      <w:r w:rsidRPr="00FA4775">
        <w:rPr>
          <w:i/>
          <w:iCs/>
          <w:noProof/>
          <w:lang w:val="vi-VN"/>
        </w:rPr>
        <w:t>[Insert detailed explanation on how it will be collected</w:t>
      </w:r>
      <w:r w:rsidRPr="00FA4775">
        <w:rPr>
          <w:noProof/>
          <w:lang w:val="vi-VN"/>
        </w:rPr>
        <w:t>.</w:t>
      </w:r>
      <w:r w:rsidRPr="00FA4775">
        <w:rPr>
          <w:i/>
          <w:iCs/>
          <w:noProof/>
          <w:lang w:val="vi-VN"/>
        </w:rPr>
        <w:t>]</w:t>
      </w:r>
      <w:r w:rsidRPr="00FA4775">
        <w:rPr>
          <w:noProof/>
          <w:lang w:val="vi-VN"/>
        </w:rPr>
        <w:t>]</w:t>
      </w:r>
    </w:p>
    <w:p w14:paraId="4012CFB5" w14:textId="77777777" w:rsidR="00B67D1D" w:rsidRPr="00FA4775" w:rsidRDefault="00B67D1D" w:rsidP="00741097">
      <w:pPr>
        <w:rPr>
          <w:noProof/>
          <w:lang w:val="vi-VN"/>
        </w:rPr>
      </w:pPr>
    </w:p>
    <w:p w14:paraId="2CB738CF" w14:textId="494B1240" w:rsidR="00B67D1D" w:rsidRPr="00FA4775" w:rsidRDefault="00B67D1D" w:rsidP="00812F0C">
      <w:pPr>
        <w:rPr>
          <w:noProof/>
          <w:lang w:val="vi-VN"/>
        </w:rPr>
      </w:pPr>
      <w:r w:rsidRPr="00FA4775">
        <w:rPr>
          <w:noProof/>
          <w:lang w:val="vi-VN"/>
        </w:rPr>
        <w:t>[</w:t>
      </w:r>
      <w:r w:rsidRPr="00FA4775">
        <w:rPr>
          <w:i/>
          <w:iCs/>
          <w:noProof/>
          <w:lang w:val="vi-VN"/>
        </w:rPr>
        <w:t>Insert</w:t>
      </w:r>
      <w:r w:rsidRPr="00FA4775">
        <w:rPr>
          <w:rStyle w:val="Emphasis"/>
          <w:noProof/>
          <w:lang w:val="vi-VN"/>
        </w:rPr>
        <w:t xml:space="preserve"> this statement for LIS members who have been LIS eligible and now have a decrease in their cost sharing, premium, and/or deductible level, or for those newly LIS eligible with a retroactive effective date: </w:t>
      </w:r>
      <w:r w:rsidRPr="00FA4775">
        <w:rPr>
          <w:noProof/>
          <w:lang w:val="vi-VN"/>
        </w:rPr>
        <w:t xml:space="preserve">Những thay đổi đối với chi phí thuốc theo toa của quý vị bắt đầu từ ngày có hiệu lực ở đầu thư này. Khi quý vị nhận thư này có thể đã quá ngày có hiệu lực. Nếu quý vị đã mua thuốc theo toa hoặc trả phí bảo hiểm kể từ ngày này, quý vị có thể đã bị tính phí cao hơn mức quý vị lẽ ra phải trả với tư cách là </w:t>
      </w:r>
      <w:r w:rsidR="00812F0C" w:rsidRPr="00FA4775">
        <w:rPr>
          <w:noProof/>
          <w:lang w:val="vi-VN"/>
        </w:rPr>
        <w:t>hội viên</w:t>
      </w:r>
      <w:r w:rsidRPr="00FA4775">
        <w:rPr>
          <w:noProof/>
          <w:lang w:val="vi-VN"/>
        </w:rPr>
        <w:t xml:space="preserve"> của chương trình của chúng tôi.</w:t>
      </w:r>
      <w:r w:rsidR="00741097" w:rsidRPr="00FA4775">
        <w:rPr>
          <w:noProof/>
          <w:lang w:val="vi-VN"/>
        </w:rPr>
        <w:t xml:space="preserve"> </w:t>
      </w:r>
      <w:r w:rsidRPr="00FA4775">
        <w:rPr>
          <w:noProof/>
          <w:lang w:val="vi-VN"/>
        </w:rPr>
        <w:t>Nếu chúng tôi nợ quý vị tiền, chúng tôi sẽ gửi cho quý vị một thư riêng biệt để cho quý vị biết số tiền.</w:t>
      </w:r>
      <w:r w:rsidR="00741097" w:rsidRPr="00FA4775">
        <w:rPr>
          <w:noProof/>
          <w:lang w:val="vi-VN"/>
        </w:rPr>
        <w:t xml:space="preserve"> </w:t>
      </w:r>
      <w:r w:rsidRPr="00FA4775">
        <w:rPr>
          <w:i/>
          <w:iCs/>
          <w:noProof/>
          <w:lang w:val="vi-VN"/>
        </w:rPr>
        <w:t>[Insert detailed explanation of how plan will pay beneficiary back</w:t>
      </w:r>
      <w:r w:rsidRPr="00FA4775">
        <w:rPr>
          <w:noProof/>
          <w:lang w:val="vi-VN"/>
        </w:rPr>
        <w:t>.</w:t>
      </w:r>
      <w:r w:rsidRPr="00FA4775">
        <w:rPr>
          <w:i/>
          <w:iCs/>
          <w:noProof/>
          <w:lang w:val="vi-VN"/>
        </w:rPr>
        <w:t>]</w:t>
      </w:r>
      <w:r w:rsidRPr="00FA4775">
        <w:rPr>
          <w:noProof/>
          <w:lang w:val="vi-VN"/>
        </w:rPr>
        <w:t xml:space="preserve">] </w:t>
      </w:r>
    </w:p>
    <w:p w14:paraId="0C0B36D1" w14:textId="77777777" w:rsidR="00B67D1D" w:rsidRPr="00FA4775" w:rsidRDefault="00B67D1D" w:rsidP="00741097">
      <w:pPr>
        <w:rPr>
          <w:noProof/>
          <w:lang w:val="vi-VN"/>
        </w:rPr>
      </w:pPr>
    </w:p>
    <w:p w14:paraId="2542ACB2" w14:textId="133C32D7" w:rsidR="00B67D1D" w:rsidRPr="00FA4775" w:rsidRDefault="00B67D1D" w:rsidP="00741097">
      <w:pPr>
        <w:rPr>
          <w:noProof/>
          <w:lang w:val="vi-VN"/>
        </w:rPr>
      </w:pPr>
      <w:r w:rsidRPr="00FA4775">
        <w:rPr>
          <w:noProof/>
          <w:lang w:val="vi-VN"/>
        </w:rPr>
        <w:lastRenderedPageBreak/>
        <w:t xml:space="preserve">Medicare hoặc Sở An sinh Xã hội sẽ xem xét điều kiện tham gia của quý vị định kỳ để đảm bảo rằng quý vị vẫn đủ điều kiện nhận trợ cấp đặc biệt với chi phí chương trình thuốc theo toa Medicare của quý vị. Điều kiện của quý vị cho Trợ cấp Đặc biệt có thể thay đổi nếu thu nhập hoặc nguồn kinh tế của quý vị thay đổi, nếu quý vị kết hôn hoặc trở thành độc thân, hoặc quý vị mất Medicaid. </w:t>
      </w:r>
    </w:p>
    <w:p w14:paraId="09E7E80F" w14:textId="77777777" w:rsidR="00B67D1D" w:rsidRPr="00FA4775" w:rsidRDefault="00B67D1D" w:rsidP="00741097">
      <w:pPr>
        <w:rPr>
          <w:noProof/>
          <w:lang w:val="vi-VN"/>
        </w:rPr>
      </w:pPr>
    </w:p>
    <w:p w14:paraId="20BE2E30" w14:textId="7B10CF46" w:rsidR="00B67D1D" w:rsidRPr="00FA4775" w:rsidRDefault="00B67D1D" w:rsidP="00741097">
      <w:pPr>
        <w:rPr>
          <w:noProof/>
          <w:lang w:val="vi-VN"/>
        </w:rPr>
      </w:pPr>
      <w:r w:rsidRPr="00FA4775">
        <w:rPr>
          <w:noProof/>
          <w:lang w:val="vi-VN"/>
        </w:rPr>
        <w:t>Nếu quý vị có bất kỳ thắc mắc nào về thông báo này, vui lòng liên lạc [</w:t>
      </w:r>
      <w:r w:rsidRPr="00FA4775">
        <w:rPr>
          <w:i/>
          <w:iCs/>
          <w:noProof/>
          <w:lang w:val="vi-VN"/>
        </w:rPr>
        <w:t xml:space="preserve">Insert </w:t>
      </w:r>
      <w:r w:rsidRPr="00FA4775">
        <w:rPr>
          <w:noProof/>
          <w:lang w:val="vi-VN"/>
        </w:rPr>
        <w:t>&lt;Customer/Member&gt; Service</w:t>
      </w:r>
      <w:r w:rsidR="00741097" w:rsidRPr="00FA4775">
        <w:rPr>
          <w:noProof/>
          <w:lang w:val="vi-VN"/>
        </w:rPr>
        <w:t xml:space="preserve"> </w:t>
      </w:r>
      <w:r w:rsidRPr="00FA4775">
        <w:rPr>
          <w:noProof/>
          <w:lang w:val="vi-VN"/>
        </w:rPr>
        <w:t xml:space="preserve">theo số &lt;phone number&gt; (người dùng TTY nên gọi </w:t>
      </w:r>
      <w:r w:rsidR="00432D10" w:rsidRPr="00FA4775">
        <w:rPr>
          <w:noProof/>
          <w:lang w:val="vi-VN"/>
        </w:rPr>
        <w:br/>
      </w:r>
      <w:r w:rsidRPr="00FA4775">
        <w:rPr>
          <w:noProof/>
          <w:lang w:val="vi-VN"/>
        </w:rPr>
        <w:t xml:space="preserve">&lt;TTY number&gt;) &lt;days/hours of operation&gt; hoặc tại &lt;web address.&gt;] </w:t>
      </w:r>
    </w:p>
    <w:p w14:paraId="3AFEBDC1" w14:textId="77777777" w:rsidR="001206C5" w:rsidRPr="00FA4775" w:rsidRDefault="001206C5" w:rsidP="00741097">
      <w:pPr>
        <w:rPr>
          <w:noProof/>
          <w:lang w:val="vi-VN"/>
        </w:rPr>
      </w:pPr>
    </w:p>
    <w:p w14:paraId="149747C3" w14:textId="57C1EA70" w:rsidR="00D074B5" w:rsidRPr="00FA4775" w:rsidRDefault="0098716E" w:rsidP="00741097">
      <w:pPr>
        <w:rPr>
          <w:noProof/>
          <w:lang w:val="vi-VN"/>
        </w:rPr>
      </w:pPr>
      <w:r w:rsidRPr="00FA4775">
        <w:rPr>
          <w:i/>
          <w:iCs/>
          <w:noProof/>
          <w:lang w:val="vi-VN"/>
        </w:rPr>
        <w:t>[Pursuant to 42 CFR §423.2267, applicable disclaimers must be included in this document.]</w:t>
      </w:r>
      <w:r w:rsidR="00741097" w:rsidRPr="00FA4775">
        <w:rPr>
          <w:noProof/>
          <w:lang w:val="vi-VN"/>
        </w:rPr>
        <w:t xml:space="preserve"> </w:t>
      </w:r>
    </w:p>
    <w:sectPr w:rsidR="00D074B5" w:rsidRPr="00FA4775" w:rsidSect="00CA2F1E">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CE922" w14:textId="77777777" w:rsidR="00AA20F8" w:rsidRDefault="00AA20F8">
      <w:r>
        <w:separator/>
      </w:r>
    </w:p>
  </w:endnote>
  <w:endnote w:type="continuationSeparator" w:id="0">
    <w:p w14:paraId="5E9E0278" w14:textId="77777777" w:rsidR="00AA20F8" w:rsidRDefault="00AA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17BCC6E1" w:rsidR="00180E35" w:rsidRDefault="00180E35">
    <w:pPr>
      <w:pStyle w:val="Footer"/>
      <w:framePr w:wrap="around" w:vAnchor="text" w:hAnchor="margin" w:xAlign="center" w:y="1"/>
      <w:rPr>
        <w:rStyle w:val="PageNumber"/>
      </w:rPr>
    </w:pPr>
    <w:r>
      <w:rPr>
        <w:rStyle w:val="PageNumber"/>
        <w:lang w:val="vi"/>
      </w:rPr>
      <w:t xml:space="preserve">Trang </w:t>
    </w:r>
    <w:r>
      <w:rPr>
        <w:rStyle w:val="PageNumber"/>
        <w:lang w:val="vi"/>
      </w:rPr>
      <w:fldChar w:fldCharType="begin"/>
    </w:r>
    <w:r>
      <w:rPr>
        <w:rStyle w:val="PageNumber"/>
        <w:lang w:val="vi"/>
      </w:rPr>
      <w:instrText xml:space="preserve"> PAGE </w:instrText>
    </w:r>
    <w:r>
      <w:rPr>
        <w:rStyle w:val="PageNumber"/>
        <w:lang w:val="vi"/>
      </w:rPr>
      <w:fldChar w:fldCharType="separate"/>
    </w:r>
    <w:r>
      <w:rPr>
        <w:rStyle w:val="PageNumber"/>
        <w:noProof/>
        <w:lang w:val="vi"/>
      </w:rPr>
      <w:t>1</w:t>
    </w:r>
    <w:r>
      <w:rPr>
        <w:rStyle w:val="PageNumber"/>
        <w:lang w:val="vi"/>
      </w:rPr>
      <w:fldChar w:fldCharType="end"/>
    </w:r>
    <w:r>
      <w:rPr>
        <w:rStyle w:val="PageNumber"/>
        <w:lang w:val="vi"/>
      </w:rPr>
      <w:t xml:space="preserve"> / </w:t>
    </w:r>
    <w:r>
      <w:rPr>
        <w:rStyle w:val="PageNumber"/>
        <w:lang w:val="vi"/>
      </w:rPr>
      <w:fldChar w:fldCharType="begin"/>
    </w:r>
    <w:r>
      <w:rPr>
        <w:rStyle w:val="PageNumber"/>
        <w:lang w:val="vi"/>
      </w:rPr>
      <w:instrText xml:space="preserve"> NUMPAGES </w:instrText>
    </w:r>
    <w:r>
      <w:rPr>
        <w:rStyle w:val="PageNumber"/>
        <w:lang w:val="vi"/>
      </w:rPr>
      <w:fldChar w:fldCharType="separate"/>
    </w:r>
    <w:r>
      <w:rPr>
        <w:rStyle w:val="PageNumber"/>
        <w:noProof/>
        <w:lang w:val="vi"/>
      </w:rPr>
      <w:t>4</w:t>
    </w:r>
    <w:r>
      <w:rPr>
        <w:rStyle w:val="PageNumber"/>
        <w:lang w:val="vi"/>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F2EF1" w14:textId="77777777" w:rsidR="00AA20F8" w:rsidRDefault="00AA20F8">
      <w:r>
        <w:separator/>
      </w:r>
    </w:p>
  </w:footnote>
  <w:footnote w:type="continuationSeparator" w:id="0">
    <w:p w14:paraId="00995D52" w14:textId="77777777" w:rsidR="00AA20F8" w:rsidRDefault="00AA2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56B89A6A" w:rsidR="00180E35" w:rsidRDefault="00EF1A64" w:rsidP="00B67D1D">
    <w:pPr>
      <w:pStyle w:val="Header"/>
    </w:pPr>
    <w:r>
      <w:rPr>
        <w:lang w:val="vi"/>
      </w:rPr>
      <w:t>Phục lục LIS Mẫu Phần D 2024</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8593091">
    <w:abstractNumId w:val="0"/>
    <w:lvlOverride w:ilvl="0">
      <w:lvl w:ilvl="0">
        <w:numFmt w:val="bullet"/>
        <w:lvlText w:val=""/>
        <w:legacy w:legacy="1" w:legacySpace="0" w:legacyIndent="0"/>
        <w:lvlJc w:val="left"/>
        <w:rPr>
          <w:rFonts w:ascii="Symbol" w:hAnsi="Symbol" w:hint="default"/>
        </w:rPr>
      </w:lvl>
    </w:lvlOverride>
  </w:num>
  <w:num w:numId="2" w16cid:durableId="454763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42078"/>
    <w:rsid w:val="00050B9F"/>
    <w:rsid w:val="000561FB"/>
    <w:rsid w:val="00056EAB"/>
    <w:rsid w:val="00061C8A"/>
    <w:rsid w:val="000641AB"/>
    <w:rsid w:val="000836B7"/>
    <w:rsid w:val="000A0FAB"/>
    <w:rsid w:val="000D3E1D"/>
    <w:rsid w:val="000F5327"/>
    <w:rsid w:val="00111B5F"/>
    <w:rsid w:val="0011726A"/>
    <w:rsid w:val="001206C5"/>
    <w:rsid w:val="001229DD"/>
    <w:rsid w:val="00154817"/>
    <w:rsid w:val="00161722"/>
    <w:rsid w:val="00173F59"/>
    <w:rsid w:val="00180E35"/>
    <w:rsid w:val="00193741"/>
    <w:rsid w:val="00195A0E"/>
    <w:rsid w:val="001A24FC"/>
    <w:rsid w:val="001C3781"/>
    <w:rsid w:val="001E477D"/>
    <w:rsid w:val="001F2F82"/>
    <w:rsid w:val="001F60DD"/>
    <w:rsid w:val="00217D74"/>
    <w:rsid w:val="0022028E"/>
    <w:rsid w:val="0024323D"/>
    <w:rsid w:val="00253C55"/>
    <w:rsid w:val="00260835"/>
    <w:rsid w:val="00266597"/>
    <w:rsid w:val="00277877"/>
    <w:rsid w:val="00284689"/>
    <w:rsid w:val="002867F3"/>
    <w:rsid w:val="00287360"/>
    <w:rsid w:val="00295345"/>
    <w:rsid w:val="002B0587"/>
    <w:rsid w:val="002C0E0C"/>
    <w:rsid w:val="002C1558"/>
    <w:rsid w:val="002D0723"/>
    <w:rsid w:val="002D3630"/>
    <w:rsid w:val="00306A9C"/>
    <w:rsid w:val="00307A63"/>
    <w:rsid w:val="003130B2"/>
    <w:rsid w:val="003178DA"/>
    <w:rsid w:val="00326B7A"/>
    <w:rsid w:val="00334A71"/>
    <w:rsid w:val="00355D11"/>
    <w:rsid w:val="00364DA1"/>
    <w:rsid w:val="00371F80"/>
    <w:rsid w:val="00373850"/>
    <w:rsid w:val="00375206"/>
    <w:rsid w:val="00387F62"/>
    <w:rsid w:val="003906BF"/>
    <w:rsid w:val="00397545"/>
    <w:rsid w:val="003B2988"/>
    <w:rsid w:val="003D0BAC"/>
    <w:rsid w:val="003D43B9"/>
    <w:rsid w:val="003E5286"/>
    <w:rsid w:val="003E5D63"/>
    <w:rsid w:val="003E7D2E"/>
    <w:rsid w:val="003F11CC"/>
    <w:rsid w:val="00402838"/>
    <w:rsid w:val="004229AB"/>
    <w:rsid w:val="004251EB"/>
    <w:rsid w:val="004264F4"/>
    <w:rsid w:val="00432D10"/>
    <w:rsid w:val="004503E3"/>
    <w:rsid w:val="004752E7"/>
    <w:rsid w:val="004867DF"/>
    <w:rsid w:val="00490F11"/>
    <w:rsid w:val="004B462D"/>
    <w:rsid w:val="004E7B9A"/>
    <w:rsid w:val="004F30E7"/>
    <w:rsid w:val="00514C05"/>
    <w:rsid w:val="00521696"/>
    <w:rsid w:val="00562BC0"/>
    <w:rsid w:val="00573C29"/>
    <w:rsid w:val="005810D7"/>
    <w:rsid w:val="00582153"/>
    <w:rsid w:val="005A0CFC"/>
    <w:rsid w:val="005B4D03"/>
    <w:rsid w:val="005C1A60"/>
    <w:rsid w:val="005C2550"/>
    <w:rsid w:val="005D5C02"/>
    <w:rsid w:val="005E13FE"/>
    <w:rsid w:val="005E1F6F"/>
    <w:rsid w:val="005E71B1"/>
    <w:rsid w:val="005F4BC7"/>
    <w:rsid w:val="00620AE5"/>
    <w:rsid w:val="00641B24"/>
    <w:rsid w:val="0064779C"/>
    <w:rsid w:val="0066690D"/>
    <w:rsid w:val="00673A7F"/>
    <w:rsid w:val="00690AEC"/>
    <w:rsid w:val="006B2245"/>
    <w:rsid w:val="006C5251"/>
    <w:rsid w:val="006C7438"/>
    <w:rsid w:val="006D5713"/>
    <w:rsid w:val="006E2440"/>
    <w:rsid w:val="006E3A8E"/>
    <w:rsid w:val="00711878"/>
    <w:rsid w:val="00722F9E"/>
    <w:rsid w:val="00727E7A"/>
    <w:rsid w:val="00733B99"/>
    <w:rsid w:val="00741097"/>
    <w:rsid w:val="007743CB"/>
    <w:rsid w:val="00775896"/>
    <w:rsid w:val="00777A86"/>
    <w:rsid w:val="00784A02"/>
    <w:rsid w:val="00796C1B"/>
    <w:rsid w:val="007B43D4"/>
    <w:rsid w:val="007D2559"/>
    <w:rsid w:val="007E219B"/>
    <w:rsid w:val="007E3212"/>
    <w:rsid w:val="008078A7"/>
    <w:rsid w:val="00812F0C"/>
    <w:rsid w:val="00822D80"/>
    <w:rsid w:val="0082746B"/>
    <w:rsid w:val="00842641"/>
    <w:rsid w:val="00850C2E"/>
    <w:rsid w:val="00856731"/>
    <w:rsid w:val="00860D33"/>
    <w:rsid w:val="0086434D"/>
    <w:rsid w:val="008D58EE"/>
    <w:rsid w:val="008D7F29"/>
    <w:rsid w:val="008E61F6"/>
    <w:rsid w:val="008F33AD"/>
    <w:rsid w:val="009026EC"/>
    <w:rsid w:val="00927F1D"/>
    <w:rsid w:val="009344BC"/>
    <w:rsid w:val="009411B0"/>
    <w:rsid w:val="00943CE5"/>
    <w:rsid w:val="009458AE"/>
    <w:rsid w:val="00947283"/>
    <w:rsid w:val="00953DC1"/>
    <w:rsid w:val="00973299"/>
    <w:rsid w:val="00985E0C"/>
    <w:rsid w:val="0098716E"/>
    <w:rsid w:val="00994FF0"/>
    <w:rsid w:val="009966CD"/>
    <w:rsid w:val="009B7A71"/>
    <w:rsid w:val="009C008A"/>
    <w:rsid w:val="009E556F"/>
    <w:rsid w:val="009F4534"/>
    <w:rsid w:val="00A3147B"/>
    <w:rsid w:val="00A316CA"/>
    <w:rsid w:val="00A407BA"/>
    <w:rsid w:val="00A418D4"/>
    <w:rsid w:val="00A46A62"/>
    <w:rsid w:val="00A62BCC"/>
    <w:rsid w:val="00A66DF2"/>
    <w:rsid w:val="00A77CCD"/>
    <w:rsid w:val="00A9202A"/>
    <w:rsid w:val="00A95B9F"/>
    <w:rsid w:val="00AA20F8"/>
    <w:rsid w:val="00AB54A2"/>
    <w:rsid w:val="00AE23A4"/>
    <w:rsid w:val="00AE6998"/>
    <w:rsid w:val="00AE7A54"/>
    <w:rsid w:val="00AF6212"/>
    <w:rsid w:val="00AF685B"/>
    <w:rsid w:val="00B023F0"/>
    <w:rsid w:val="00B027DE"/>
    <w:rsid w:val="00B02BAE"/>
    <w:rsid w:val="00B03369"/>
    <w:rsid w:val="00B07A7F"/>
    <w:rsid w:val="00B24C1E"/>
    <w:rsid w:val="00B67D1D"/>
    <w:rsid w:val="00B733CD"/>
    <w:rsid w:val="00B80037"/>
    <w:rsid w:val="00BA1D6C"/>
    <w:rsid w:val="00BA5174"/>
    <w:rsid w:val="00BD2DA6"/>
    <w:rsid w:val="00C0096E"/>
    <w:rsid w:val="00C052BA"/>
    <w:rsid w:val="00C301A3"/>
    <w:rsid w:val="00C36DB6"/>
    <w:rsid w:val="00C55FC5"/>
    <w:rsid w:val="00C57401"/>
    <w:rsid w:val="00C618D2"/>
    <w:rsid w:val="00C6667B"/>
    <w:rsid w:val="00C709A6"/>
    <w:rsid w:val="00C70C05"/>
    <w:rsid w:val="00C7379C"/>
    <w:rsid w:val="00C75409"/>
    <w:rsid w:val="00C8139A"/>
    <w:rsid w:val="00C84F7A"/>
    <w:rsid w:val="00CA2F1E"/>
    <w:rsid w:val="00CA5400"/>
    <w:rsid w:val="00CC3A87"/>
    <w:rsid w:val="00CD0EAC"/>
    <w:rsid w:val="00CE077D"/>
    <w:rsid w:val="00D0028A"/>
    <w:rsid w:val="00D074B5"/>
    <w:rsid w:val="00D33E7F"/>
    <w:rsid w:val="00D4394F"/>
    <w:rsid w:val="00D46273"/>
    <w:rsid w:val="00D478FF"/>
    <w:rsid w:val="00D61825"/>
    <w:rsid w:val="00D639CB"/>
    <w:rsid w:val="00D63A22"/>
    <w:rsid w:val="00D70DBD"/>
    <w:rsid w:val="00D71B71"/>
    <w:rsid w:val="00D726A6"/>
    <w:rsid w:val="00D8345D"/>
    <w:rsid w:val="00D92441"/>
    <w:rsid w:val="00DC619C"/>
    <w:rsid w:val="00DD31D6"/>
    <w:rsid w:val="00DD3883"/>
    <w:rsid w:val="00DD5022"/>
    <w:rsid w:val="00E11C87"/>
    <w:rsid w:val="00E16B4C"/>
    <w:rsid w:val="00E43F51"/>
    <w:rsid w:val="00E5527E"/>
    <w:rsid w:val="00E639B6"/>
    <w:rsid w:val="00E650C8"/>
    <w:rsid w:val="00E72560"/>
    <w:rsid w:val="00E85176"/>
    <w:rsid w:val="00ED0799"/>
    <w:rsid w:val="00ED2640"/>
    <w:rsid w:val="00EF1A64"/>
    <w:rsid w:val="00EF1FB5"/>
    <w:rsid w:val="00F021D5"/>
    <w:rsid w:val="00F05598"/>
    <w:rsid w:val="00F22DB4"/>
    <w:rsid w:val="00F4785C"/>
    <w:rsid w:val="00F47B2C"/>
    <w:rsid w:val="00F709D4"/>
    <w:rsid w:val="00F82FBF"/>
    <w:rsid w:val="00FA4775"/>
    <w:rsid w:val="00FA6375"/>
    <w:rsid w:val="00FB0E00"/>
    <w:rsid w:val="00FC720F"/>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CY 2024 LIS Rider</vt:lpstr>
    </vt:vector>
  </TitlesOfParts>
  <Company>BearingPoint</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LIS Rider_VT</dc:title>
  <dc:subject>CY 2024 LIS Rider_VT</dc:subject>
  <dc:creator>Rita Alonistiotis</dc:creator>
  <cp:keywords>508 Compliance</cp:keywords>
  <dc:description>MS Word 508 Compliance</dc:description>
  <cp:lastModifiedBy>eDigi</cp:lastModifiedBy>
  <cp:revision>56</cp:revision>
  <cp:lastPrinted>2023-08-29T06:25:00Z</cp:lastPrinted>
  <dcterms:created xsi:type="dcterms:W3CDTF">2023-05-24T12:49:00Z</dcterms:created>
  <dcterms:modified xsi:type="dcterms:W3CDTF">2023-09-04T06:25:00Z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