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3B2" w:rsidRPr="00CF03B2" w:rsidRDefault="00CF03B2" w:rsidP="00CF03B2">
      <w:pPr>
        <w:keepNext/>
        <w:spacing w:after="0" w:line="240" w:lineRule="auto"/>
        <w:outlineLvl w:val="1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</w:pPr>
      <w:bookmarkStart w:id="0" w:name="_Toc358982319"/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 xml:space="preserve">Exhibit 28:  Acknowledgement of Request to Opt </w:t>
      </w:r>
      <w:proofErr w:type="gramStart"/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>Out</w:t>
      </w:r>
      <w:proofErr w:type="gramEnd"/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 xml:space="preserve"> of Passive Enrollment </w:t>
      </w:r>
      <w:r w:rsidR="004B15A1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 xml:space="preserve">for Medicare services </w:t>
      </w:r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 xml:space="preserve">(not connected to request to </w:t>
      </w:r>
      <w:proofErr w:type="spellStart"/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>disenroll</w:t>
      </w:r>
      <w:proofErr w:type="spellEnd"/>
      <w:r w:rsidRPr="00CF03B2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en-US"/>
        </w:rPr>
        <w:t xml:space="preserve"> or cancel enrollment in MMP)</w:t>
      </w:r>
      <w:bookmarkEnd w:id="0"/>
    </w:p>
    <w:p w:rsidR="00CF03B2" w:rsidRPr="00CF03B2" w:rsidRDefault="00CF03B2" w:rsidP="00CF03B2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CF03B2">
        <w:rPr>
          <w:rFonts w:ascii="Times New Roman" w:eastAsia="Times New Roman" w:hAnsi="Times New Roman" w:cs="Times New Roman"/>
          <w:lang w:eastAsia="en-US"/>
        </w:rPr>
        <w:t>Referenced in §30.1.4</w:t>
      </w:r>
    </w:p>
    <w:p w:rsidR="001300AC" w:rsidRDefault="00FC52D0">
      <w:bookmarkStart w:id="1" w:name="_GoBack"/>
      <w:bookmarkEnd w:id="1"/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  <w:r w:rsidRPr="00CF03B2">
        <w:rPr>
          <w:rFonts w:ascii="Arial" w:eastAsia="Times New Roman" w:hAnsi="Arial" w:cs="Times New Roman"/>
          <w:szCs w:val="24"/>
          <w:lang w:eastAsia="en-US"/>
        </w:rPr>
        <w:t>&lt;</w:t>
      </w:r>
      <w:proofErr w:type="gramStart"/>
      <w:r w:rsidRPr="00CF03B2">
        <w:rPr>
          <w:rFonts w:ascii="Arial" w:eastAsia="Times New Roman" w:hAnsi="Arial" w:cs="Times New Roman"/>
          <w:szCs w:val="24"/>
          <w:lang w:eastAsia="en-US"/>
        </w:rPr>
        <w:t>date</w:t>
      </w:r>
      <w:proofErr w:type="gramEnd"/>
      <w:r w:rsidRPr="00CF03B2">
        <w:rPr>
          <w:rFonts w:ascii="Arial" w:eastAsia="Times New Roman" w:hAnsi="Arial" w:cs="Times New Roman"/>
          <w:szCs w:val="24"/>
          <w:lang w:eastAsia="en-US"/>
        </w:rPr>
        <w:t>&gt;</w:t>
      </w:r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  <w:r w:rsidRPr="00CF03B2">
        <w:rPr>
          <w:rFonts w:ascii="Arial" w:eastAsia="Times New Roman" w:hAnsi="Arial" w:cs="Times New Roman"/>
          <w:szCs w:val="24"/>
          <w:lang w:eastAsia="en-US"/>
        </w:rPr>
        <w:t>&lt;Name&gt;</w:t>
      </w:r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  <w:r w:rsidRPr="00CF03B2">
        <w:rPr>
          <w:rFonts w:ascii="Arial" w:eastAsia="Times New Roman" w:hAnsi="Arial" w:cs="Times New Roman"/>
          <w:szCs w:val="24"/>
          <w:lang w:eastAsia="en-US"/>
        </w:rPr>
        <w:t>&lt;Address&gt;</w:t>
      </w:r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  <w:r w:rsidRPr="00CF03B2">
        <w:rPr>
          <w:rFonts w:ascii="Arial" w:eastAsia="Times New Roman" w:hAnsi="Arial" w:cs="Times New Roman"/>
          <w:szCs w:val="24"/>
          <w:lang w:eastAsia="en-US"/>
        </w:rPr>
        <w:t>&lt;City&gt;, &lt;State&gt; &lt;ZIP&gt;</w:t>
      </w:r>
    </w:p>
    <w:p w:rsidR="00CF03B2" w:rsidRPr="00CF03B2" w:rsidRDefault="00CF03B2" w:rsidP="00CF03B2">
      <w:pPr>
        <w:spacing w:after="0" w:line="240" w:lineRule="auto"/>
        <w:rPr>
          <w:rFonts w:ascii="Arial" w:eastAsia="Times New Roman" w:hAnsi="Arial" w:cs="Times New Roman"/>
          <w:szCs w:val="24"/>
          <w:lang w:eastAsia="en-US"/>
        </w:rPr>
      </w:pPr>
    </w:p>
    <w:p w:rsidR="00CF03B2" w:rsidRPr="00CF03B2" w:rsidRDefault="00CF03B2" w:rsidP="00CF03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F03B2">
        <w:rPr>
          <w:rFonts w:ascii="Times New Roman" w:eastAsia="Times New Roman" w:hAnsi="Times New Roman" w:cs="Times New Roman"/>
          <w:sz w:val="24"/>
          <w:szCs w:val="24"/>
          <w:lang w:eastAsia="en-US"/>
        </w:rPr>
        <w:t>&lt;Name&gt;:</w:t>
      </w:r>
    </w:p>
    <w:p w:rsidR="00CF03B2" w:rsidRDefault="00CF03B2"/>
    <w:p w:rsidR="00CF03B2" w:rsidRPr="00CF03B2" w:rsidRDefault="004B15A1" w:rsidP="00CF03B2">
      <w:pPr>
        <w:spacing w:after="0" w:line="320" w:lineRule="exact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highlight w:val="yellow"/>
          <w:lang w:eastAsia="en-US"/>
        </w:rPr>
      </w:pP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 xml:space="preserve">Ohio Medicaid </w:t>
      </w:r>
      <w:r w:rsidR="0090329C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has received</w:t>
      </w:r>
      <w:r w:rsidR="00CF03B2" w:rsidRPr="00CF03B2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 xml:space="preserve"> your request not to be enrolled in </w:t>
      </w: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&lt;</w:t>
      </w:r>
      <w:r w:rsidR="00CF03B2" w:rsidRPr="00CF03B2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plan</w:t>
      </w:r>
      <w:r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&gt;</w:t>
      </w:r>
      <w:r w:rsidR="00CF03B2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 xml:space="preserve"> for your Medicare services</w:t>
      </w:r>
      <w:r w:rsidR="00CF03B2" w:rsidRPr="00CF03B2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.</w:t>
      </w:r>
    </w:p>
    <w:p w:rsidR="00CF03B2" w:rsidRPr="00CF03B2" w:rsidRDefault="00CF03B2" w:rsidP="00CF03B2">
      <w:pPr>
        <w:spacing w:line="240" w:lineRule="auto"/>
        <w:rPr>
          <w:rFonts w:ascii="Times New Roman" w:eastAsia="ヒラギノ角ゴ Pro W3" w:hAnsi="Times New Roman" w:cs="Times New Roman"/>
          <w:color w:val="000000" w:themeColor="text1"/>
          <w:sz w:val="24"/>
          <w:szCs w:val="24"/>
          <w:lang w:eastAsia="en-US"/>
        </w:rPr>
      </w:pP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You told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Ohio Medicaid</w:t>
      </w:r>
      <w:r w:rsidRPr="00CF03B2"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 xml:space="preserve"> </w:t>
      </w:r>
      <w:r w:rsidR="004B15A1"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 xml:space="preserve">that you don’t want </w:t>
      </w:r>
      <w:r w:rsidRPr="00CF03B2"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 xml:space="preserve">to enroll </w:t>
      </w:r>
      <w:r w:rsidR="0090329C" w:rsidRPr="00CF03B2"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>in MyCare</w:t>
      </w:r>
      <w:r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 xml:space="preserve"> Ohio for your Medicare services</w:t>
      </w:r>
      <w:r w:rsidRPr="00CF03B2">
        <w:rPr>
          <w:rFonts w:ascii="Times New Roman" w:eastAsia="ヒラギノ角ゴ Pro W3" w:hAnsi="Times New Roman" w:cs="Times New Roman"/>
          <w:sz w:val="24"/>
          <w:szCs w:val="24"/>
          <w:lang w:eastAsia="en-US"/>
        </w:rPr>
        <w:t xml:space="preserve">. 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Ohio </w:t>
      </w: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Medicaid and Medicare will not enroll you </w:t>
      </w:r>
      <w:r w:rsidR="004B15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automatically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for your Medicare services </w:t>
      </w: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again.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  </w:t>
      </w:r>
    </w:p>
    <w:p w:rsidR="00CF03B2" w:rsidRDefault="00CF03B2" w:rsidP="00CF03B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Your Medicare will stay the same</w:t>
      </w:r>
    </w:p>
    <w:p w:rsidR="00CF03B2" w:rsidRPr="00CF03B2" w:rsidRDefault="00CF03B2" w:rsidP="00CF03B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If you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are already 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enrolled in </w:t>
      </w:r>
      <w:r w:rsidR="004B15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a 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Medicare Advantage plan or Medicare prescription drug plan, you should automatically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keep that 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plan. </w:t>
      </w:r>
    </w:p>
    <w:p w:rsidR="00CF03B2" w:rsidRPr="00CF03B2" w:rsidRDefault="00CF03B2" w:rsidP="00CF03B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03B2" w:rsidRPr="00CF03B2" w:rsidRDefault="00CF03B2" w:rsidP="00CF03B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032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IMPORTANT: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If you don’t receive an enrollment acknowledgement letter from your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Medicare</w:t>
      </w:r>
      <w:r w:rsidR="00903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B15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prescription </w:t>
      </w:r>
      <w:r w:rsidR="00903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drug </w:t>
      </w:r>
      <w:r w:rsidR="0090329C"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>plan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within two (2) weeks of receiving this letter, please contact them to confirm your enrollment.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F03B2">
        <w:rPr>
          <w:rFonts w:ascii="Times New Roman" w:eastAsia="Calibri" w:hAnsi="Times New Roman" w:cs="Times New Roman"/>
          <w:sz w:val="24"/>
          <w:szCs w:val="24"/>
          <w:lang w:eastAsia="en-US"/>
        </w:rPr>
        <w:t>They may request a copy of this letter for their records.</w:t>
      </w:r>
    </w:p>
    <w:p w:rsidR="00CF03B2" w:rsidRPr="00CF03B2" w:rsidRDefault="00CF03B2" w:rsidP="00CF03B2">
      <w:pPr>
        <w:spacing w:after="0" w:line="320" w:lineRule="exact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</w:pPr>
    </w:p>
    <w:p w:rsidR="00CF03B2" w:rsidRPr="00CF03B2" w:rsidRDefault="00CF03B2" w:rsidP="00CF03B2">
      <w:pPr>
        <w:spacing w:after="0" w:line="320" w:lineRule="exact"/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</w:pPr>
      <w:r w:rsidRPr="00CF03B2">
        <w:rPr>
          <w:rFonts w:ascii="Times New Roman" w:eastAsia="ヒラギノ角ゴ Pro W3" w:hAnsi="Times New Roman" w:cs="Times New Roman"/>
          <w:b/>
          <w:color w:val="000000"/>
          <w:sz w:val="24"/>
          <w:szCs w:val="24"/>
          <w:lang w:eastAsia="en-US"/>
        </w:rPr>
        <w:t>You can change your mind about your coverage</w:t>
      </w:r>
    </w:p>
    <w:p w:rsidR="00CF03B2" w:rsidRPr="00CF03B2" w:rsidRDefault="00CF03B2" w:rsidP="00CF03B2">
      <w:pPr>
        <w:spacing w:line="240" w:lineRule="auto"/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</w:pP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If you change your mind and decide you would like to join </w:t>
      </w:r>
      <w:r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a MyCare Ohio Plan</w:t>
      </w:r>
      <w:r w:rsidR="004B15A1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 xml:space="preserve"> for your Medicare services</w:t>
      </w:r>
      <w:r w:rsidRPr="00CF03B2">
        <w:rPr>
          <w:rFonts w:ascii="Times New Roman" w:eastAsia="ヒラギノ角ゴ Pro W3" w:hAnsi="Times New Roman" w:cs="Times New Roman"/>
          <w:color w:val="000000"/>
          <w:sz w:val="24"/>
          <w:szCs w:val="24"/>
          <w:lang w:eastAsia="en-US"/>
        </w:rPr>
        <w:t>, call the Ohio Medicaid Hotline at 1-800-324-8680, Monday through Friday from 7:00 am to 8:00 pm and Saturday from 8:00 am to 5:00 pm. TTY users should call the Ohio Relay Service at 7-1-1.</w:t>
      </w:r>
    </w:p>
    <w:p w:rsidR="00C72426" w:rsidRDefault="00C72426" w:rsidP="0090329C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If you have questions about Medicare </w:t>
      </w:r>
    </w:p>
    <w:p w:rsidR="00C72426" w:rsidRDefault="00C72426" w:rsidP="00C72426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If you have questions about </w:t>
      </w:r>
      <w:r w:rsidRPr="00C20CCF">
        <w:rPr>
          <w:rFonts w:ascii="Times New Roman" w:hAnsi="Times New Roman" w:cs="Times New Roman"/>
          <w:bCs/>
          <w:color w:val="000000"/>
          <w:sz w:val="24"/>
          <w:szCs w:val="24"/>
        </w:rPr>
        <w:t>Medicare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, call 1-800-MEDICARE (1-800-633-4227)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 24 hours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day, 7 days a week or visit </w:t>
      </w:r>
      <w:r>
        <w:rPr>
          <w:rFonts w:ascii="Times New Roman" w:hAnsi="Times New Roman" w:cs="Times New Roman"/>
          <w:color w:val="000000"/>
          <w:sz w:val="24"/>
          <w:szCs w:val="24"/>
        </w:rPr>
        <w:t>http://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www.medicare.gov. TTY users should call 1-877-486-2048.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2426" w:rsidRDefault="00C72426" w:rsidP="00C72426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:rsidR="00C72426" w:rsidRDefault="00C72426" w:rsidP="00C72426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9032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If you have questions about the </w:t>
      </w:r>
      <w:proofErr w:type="spellStart"/>
      <w:r w:rsidRPr="00903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MyCare</w:t>
      </w:r>
      <w:proofErr w:type="spellEnd"/>
      <w:r w:rsidRPr="009032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Ohio program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, call the Ohio Medicaid Hotline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at </w:t>
      </w:r>
      <w:r>
        <w:rPr>
          <w:rFonts w:ascii="Times New Roman" w:hAnsi="Times New Roman" w:cs="Times New Roman"/>
          <w:color w:val="000000"/>
          <w:sz w:val="24"/>
          <w:szCs w:val="24"/>
        </w:rPr>
        <w:t>1-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800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324-8680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1BA3">
        <w:rPr>
          <w:rFonts w:ascii="Times New Roman" w:hAnsi="Times New Roman" w:cs="Times New Roman"/>
          <w:color w:val="000000"/>
          <w:sz w:val="24"/>
          <w:szCs w:val="24"/>
        </w:rPr>
        <w:t>Monday through Friday from 7:00 am to 8:00 pm and Saturday from 8:00 am to 5:00 pm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.  TTY users should call Ohio Relay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Service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at 7-1-1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You can also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visit </w:t>
      </w:r>
      <w:r w:rsidRPr="00742769">
        <w:rPr>
          <w:rFonts w:ascii="Times New Roman" w:hAnsi="Times New Roman" w:cs="Times New Roman"/>
          <w:sz w:val="24"/>
          <w:szCs w:val="24"/>
        </w:rPr>
        <w:t>http://www.medicaid.ohio.gov/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9F1BA3" w:rsidDel="00DE1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426" w:rsidRDefault="00C72426" w:rsidP="00C72426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C72426" w:rsidRDefault="00C72426" w:rsidP="00C72426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454866">
        <w:rPr>
          <w:rFonts w:ascii="Times New Roman" w:hAnsi="Times New Roman" w:cs="Times New Roman"/>
          <w:sz w:val="24"/>
          <w:szCs w:val="24"/>
        </w:rPr>
        <w:t xml:space="preserve">If you have a problem reading or understanding this information, please contact </w:t>
      </w:r>
      <w:r>
        <w:rPr>
          <w:rFonts w:ascii="Times New Roman" w:hAnsi="Times New Roman" w:cs="Times New Roman"/>
          <w:sz w:val="24"/>
          <w:szCs w:val="24"/>
        </w:rPr>
        <w:t>&lt;plan name&gt; &lt;Member Services&gt;</w:t>
      </w:r>
      <w:r w:rsidRPr="00454866">
        <w:rPr>
          <w:rFonts w:ascii="Times New Roman" w:hAnsi="Times New Roman" w:cs="Times New Roman"/>
          <w:sz w:val="24"/>
          <w:szCs w:val="24"/>
        </w:rPr>
        <w:t xml:space="preserve"> for help, at no cost to you.  We can explain this information in English or in </w:t>
      </w:r>
      <w:r w:rsidRPr="00454866">
        <w:rPr>
          <w:rFonts w:ascii="Times New Roman" w:hAnsi="Times New Roman" w:cs="Times New Roman"/>
          <w:sz w:val="24"/>
          <w:szCs w:val="24"/>
        </w:rPr>
        <w:lastRenderedPageBreak/>
        <w:t xml:space="preserve">your primary language.  We may have this information printed in some other languages.  </w:t>
      </w:r>
      <w:proofErr w:type="gramStart"/>
      <w:r w:rsidRPr="00454866">
        <w:rPr>
          <w:rFonts w:ascii="Times New Roman" w:hAnsi="Times New Roman" w:cs="Times New Roman"/>
          <w:sz w:val="24"/>
          <w:szCs w:val="24"/>
        </w:rPr>
        <w:t>If you are visually or hearing-impaired,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866">
        <w:rPr>
          <w:rFonts w:ascii="Times New Roman" w:hAnsi="Times New Roman" w:cs="Times New Roman"/>
          <w:sz w:val="24"/>
          <w:szCs w:val="24"/>
        </w:rPr>
        <w:t>help can be provided.</w:t>
      </w:r>
      <w:proofErr w:type="gramEnd"/>
    </w:p>
    <w:p w:rsidR="00CF03B2" w:rsidRPr="00CF03B2" w:rsidRDefault="00CF03B2" w:rsidP="00CF03B2">
      <w:pPr>
        <w:spacing w:after="0" w:line="320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72426" w:rsidRDefault="00CF03B2" w:rsidP="00CF03B2">
      <w:pPr>
        <w:pBdr>
          <w:top w:val="single" w:sz="4" w:space="4" w:color="auto"/>
        </w:pBdr>
        <w:autoSpaceDE w:val="0"/>
        <w:autoSpaceDN w:val="0"/>
        <w:adjustRightInd w:val="0"/>
        <w:spacing w:before="240" w:line="300" w:lineRule="exact"/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en-US"/>
        </w:rPr>
      </w:pPr>
      <w:r w:rsidRPr="00CF03B2">
        <w:rPr>
          <w:rFonts w:ascii="Times New Roman" w:eastAsia="Times New Roman" w:hAnsi="Times New Roman" w:cs="Times New Roman"/>
          <w:i/>
          <w:color w:val="4F81BD" w:themeColor="accent1"/>
          <w:sz w:val="24"/>
          <w:szCs w:val="24"/>
          <w:lang w:eastAsia="en-US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CF03B2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en-US"/>
        </w:rPr>
        <w:t xml:space="preserve"> </w:t>
      </w:r>
      <w:r w:rsidR="00C72426" w:rsidRPr="009032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>You can get this information for free in other languages.  Call &lt;toll-free number&gt;.  The call is free.</w:t>
      </w:r>
      <w:r w:rsidR="00C72426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en-US"/>
        </w:rPr>
        <w:t xml:space="preserve"> </w:t>
      </w:r>
    </w:p>
    <w:p w:rsidR="00CF03B2" w:rsidRPr="00CF03B2" w:rsidRDefault="00CF03B2" w:rsidP="00CF03B2">
      <w:pPr>
        <w:pBdr>
          <w:top w:val="single" w:sz="4" w:space="4" w:color="auto"/>
        </w:pBdr>
        <w:autoSpaceDE w:val="0"/>
        <w:autoSpaceDN w:val="0"/>
        <w:adjustRightInd w:val="0"/>
        <w:spacing w:before="240" w:line="300" w:lineRule="exact"/>
        <w:rPr>
          <w:rFonts w:ascii="Times New Roman" w:eastAsia="Times New Roman" w:hAnsi="Times New Roman" w:cs="Times New Roman"/>
          <w:sz w:val="24"/>
          <w:szCs w:val="24"/>
          <w:lang w:bidi="x-none"/>
        </w:rPr>
      </w:pPr>
      <w:r w:rsidRPr="00CF03B2">
        <w:rPr>
          <w:rFonts w:ascii="Times New Roman" w:eastAsia="Times New Roman" w:hAnsi="Times New Roman" w:cs="Times New Roman"/>
          <w:sz w:val="24"/>
          <w:szCs w:val="24"/>
          <w:lang w:eastAsia="en-US"/>
        </w:rPr>
        <w:t>This information is available for free in other languages and formats like Braille or audio CD.</w:t>
      </w:r>
    </w:p>
    <w:p w:rsidR="00CF03B2" w:rsidRPr="00CF03B2" w:rsidRDefault="00CF03B2" w:rsidP="00CF03B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x-none"/>
        </w:rPr>
      </w:pPr>
    </w:p>
    <w:p w:rsidR="00CF03B2" w:rsidRDefault="00CF03B2"/>
    <w:sectPr w:rsidR="00CF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B2"/>
    <w:rsid w:val="002F5D2B"/>
    <w:rsid w:val="004B15A1"/>
    <w:rsid w:val="004D028F"/>
    <w:rsid w:val="00650AD4"/>
    <w:rsid w:val="00661373"/>
    <w:rsid w:val="00796A3F"/>
    <w:rsid w:val="007F6F88"/>
    <w:rsid w:val="008C2A6B"/>
    <w:rsid w:val="0090329C"/>
    <w:rsid w:val="00944CD9"/>
    <w:rsid w:val="00977FDB"/>
    <w:rsid w:val="00C72426"/>
    <w:rsid w:val="00CF03B2"/>
    <w:rsid w:val="00FC52D0"/>
    <w:rsid w:val="00FC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A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96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A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A3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A3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96A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A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A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A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A3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Giman Kim</cp:lastModifiedBy>
  <cp:revision>2</cp:revision>
  <dcterms:created xsi:type="dcterms:W3CDTF">2014-05-19T16:39:00Z</dcterms:created>
  <dcterms:modified xsi:type="dcterms:W3CDTF">2014-05-19T16:39:00Z</dcterms:modified>
</cp:coreProperties>
</file>