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rsidR="001C3781" w:rsidRDefault="001C3781" w:rsidP="009E556F">
      <w:pPr>
        <w:pStyle w:val="Notesinitalic"/>
        <w:widowControl/>
        <w:spacing w:after="0"/>
        <w:ind w:left="360"/>
        <w:rPr>
          <w:iCs/>
          <w:snapToGrid/>
        </w:rPr>
      </w:pPr>
    </w:p>
    <w:p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rsidR="00C55FC5" w:rsidRDefault="00C55FC5" w:rsidP="00D4394F">
      <w:pPr>
        <w:pStyle w:val="Notesinitalic"/>
        <w:widowControl/>
        <w:spacing w:after="0"/>
        <w:rPr>
          <w:iCs/>
          <w:snapToGrid/>
        </w:rPr>
      </w:pPr>
    </w:p>
    <w:p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rsidR="00B67D1D" w:rsidRPr="00253C55" w:rsidRDefault="00B67D1D" w:rsidP="00CA5400"/>
    <w:p w:rsidR="002D3630" w:rsidRPr="00D4394F" w:rsidRDefault="00B67D1D">
      <w:pPr>
        <w:pStyle w:val="BodyText"/>
      </w:pPr>
      <w:r w:rsidRPr="00D4394F">
        <w:t xml:space="preserve"> Evidence of Coverage Rider </w:t>
      </w:r>
    </w:p>
    <w:p w:rsidR="005C1A60" w:rsidRDefault="00B67D1D">
      <w:pPr>
        <w:pStyle w:val="BodyText"/>
      </w:pPr>
      <w:proofErr w:type="gramStart"/>
      <w:r w:rsidRPr="00D4394F">
        <w:t>for</w:t>
      </w:r>
      <w:proofErr w:type="gramEnd"/>
      <w:r w:rsidRPr="00D4394F">
        <w:t xml:space="preserve"> People Who Get Extra Help Paying for Prescription Drugs</w:t>
      </w:r>
    </w:p>
    <w:p w:rsidR="00F22DB4" w:rsidRPr="00253C55" w:rsidRDefault="005C1A60" w:rsidP="00F22DB4">
      <w:pPr>
        <w:pStyle w:val="BodyText"/>
      </w:pPr>
      <w:r>
        <w:t xml:space="preserve"> (</w:t>
      </w:r>
      <w:proofErr w:type="gramStart"/>
      <w:r>
        <w:t>also</w:t>
      </w:r>
      <w:proofErr w:type="gramEnd"/>
      <w:r>
        <w:t xml:space="preserve"> called a </w:t>
      </w:r>
      <w:r w:rsidR="00AE7A54" w:rsidRPr="00AE7A54">
        <w:t>Low Income Subsidy Rider</w:t>
      </w:r>
      <w:r w:rsidR="00AE7A54" w:rsidRPr="00253C55">
        <w:t xml:space="preserve"> or </w:t>
      </w:r>
      <w:r w:rsidR="00F22DB4" w:rsidRPr="00253C55">
        <w:t>LIS Rider</w:t>
      </w:r>
      <w:r>
        <w:t>)</w:t>
      </w:r>
    </w:p>
    <w:p w:rsidR="00B67D1D" w:rsidRPr="00D4394F" w:rsidRDefault="00B67D1D"/>
    <w:p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rsidR="00B67D1D" w:rsidRPr="00D4394F" w:rsidRDefault="00B67D1D" w:rsidP="00CA5400">
      <w:r w:rsidRPr="00F22DB4">
        <w:t xml:space="preserve">Please keep this notice - it is part of </w:t>
      </w:r>
      <w:r w:rsidRPr="00253C55">
        <w:t>&lt;Plan Name&gt;</w:t>
      </w:r>
      <w:r w:rsidRPr="00D4394F">
        <w:t>’s Evidence of Coverage.</w:t>
      </w:r>
    </w:p>
    <w:p w:rsidR="00B67D1D" w:rsidRPr="00D4394F" w:rsidRDefault="00B67D1D" w:rsidP="004752E7"/>
    <w:p w:rsidR="00B67D1D" w:rsidRPr="00D4394F" w:rsidRDefault="00B67D1D">
      <w:r w:rsidRPr="00D4394F">
        <w:t xml:space="preserve">Our records show that you qualify for extra help paying for your prescription drug coverage.  This means that you will get help paying your monthly </w:t>
      </w:r>
      <w:proofErr w:type="gramStart"/>
      <w:r w:rsidRPr="00D4394F">
        <w:t>premium[</w:t>
      </w:r>
      <w:proofErr w:type="gramEnd"/>
      <w:r w:rsidRPr="00D4394F">
        <w:t xml:space="preserve">,] [yearly deductible,] and prescription drug </w:t>
      </w:r>
      <w:r w:rsidR="0086434D">
        <w:t>cost sharing</w:t>
      </w:r>
      <w:r w:rsidRPr="00D4394F">
        <w:t>.</w:t>
      </w:r>
    </w:p>
    <w:p w:rsidR="00B67D1D" w:rsidRPr="00D4394F" w:rsidRDefault="00B67D1D"/>
    <w:p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rsidR="00B67D1D" w:rsidRPr="00D4394F" w:rsidRDefault="00B67D1D">
      <w:pPr>
        <w:pStyle w:val="NormalWeb"/>
        <w:tabs>
          <w:tab w:val="clear" w:pos="720"/>
          <w:tab w:val="clear" w:pos="1440"/>
          <w:tab w:val="clear" w:pos="2160"/>
          <w:tab w:val="clear" w:pos="2880"/>
        </w:tabs>
        <w:rPr>
          <w:szCs w:val="24"/>
        </w:rPr>
      </w:pPr>
    </w:p>
    <w:p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D4394F">
        <w:trPr>
          <w:trHeight w:val="887"/>
        </w:trPr>
        <w:tc>
          <w:tcPr>
            <w:tcW w:w="1077" w:type="pct"/>
            <w:vAlign w:val="center"/>
          </w:tcPr>
          <w:p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trPr>
          <w:trHeight w:val="863"/>
        </w:trPr>
        <w:tc>
          <w:tcPr>
            <w:tcW w:w="1077" w:type="pct"/>
          </w:tcPr>
          <w:p w:rsidR="00B67D1D" w:rsidRPr="00D4394F" w:rsidRDefault="00B67D1D">
            <w:pPr>
              <w:autoSpaceDE w:val="0"/>
              <w:autoSpaceDN w:val="0"/>
              <w:adjustRightInd w:val="0"/>
              <w:rPr>
                <w:szCs w:val="20"/>
              </w:rPr>
            </w:pPr>
            <w:r w:rsidRPr="00253C55">
              <w:t>&lt;Insert applicable amount</w:t>
            </w:r>
            <w:r w:rsidR="00253C55">
              <w:t>&gt;*</w:t>
            </w:r>
          </w:p>
          <w:p w:rsidR="00B67D1D" w:rsidRPr="00D4394F" w:rsidRDefault="00B67D1D">
            <w:pPr>
              <w:pStyle w:val="BalloonText"/>
            </w:pPr>
          </w:p>
        </w:tc>
        <w:tc>
          <w:tcPr>
            <w:tcW w:w="915" w:type="pct"/>
          </w:tcPr>
          <w:p w:rsidR="00B67D1D" w:rsidRPr="00D4394F" w:rsidRDefault="00B67D1D">
            <w:pPr>
              <w:autoSpaceDE w:val="0"/>
              <w:autoSpaceDN w:val="0"/>
              <w:adjustRightInd w:val="0"/>
              <w:rPr>
                <w:szCs w:val="20"/>
              </w:rPr>
            </w:pPr>
            <w:r w:rsidRPr="00253C55">
              <w:rPr>
                <w:b/>
              </w:rPr>
              <w:t>&lt;</w:t>
            </w:r>
            <w:r w:rsidRPr="00253C55">
              <w:t>$0/$</w:t>
            </w:r>
            <w:r w:rsidR="00A95B9F">
              <w:t>74</w:t>
            </w:r>
            <w:r w:rsidRPr="00253C55">
              <w:t>&gt;</w:t>
            </w:r>
          </w:p>
          <w:p w:rsidR="00B67D1D" w:rsidRPr="00D4394F" w:rsidRDefault="00B67D1D">
            <w:pPr>
              <w:pStyle w:val="BalloonText"/>
            </w:pPr>
          </w:p>
        </w:tc>
        <w:tc>
          <w:tcPr>
            <w:tcW w:w="1623" w:type="pct"/>
          </w:tcPr>
          <w:p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C6667B" w:rsidRPr="00253C55">
              <w:t>20</w:t>
            </w:r>
            <w:r w:rsidRPr="00253C55">
              <w:t>/ $2.</w:t>
            </w:r>
            <w:r w:rsidR="00A95B9F">
              <w:t>9</w:t>
            </w:r>
            <w:r w:rsidR="00A95B9F" w:rsidRPr="00253C55">
              <w:t xml:space="preserve">5 </w:t>
            </w:r>
            <w:r w:rsidRPr="00253C55">
              <w:t>/15%&gt;</w:t>
            </w:r>
            <w:r w:rsidRPr="00D4394F">
              <w:rPr>
                <w:rFonts w:ascii="TimesNewRomanPS" w:hAnsi="TimesNewRomanPS" w:cs="TimesNewRomanPS"/>
                <w:color w:val="231F20"/>
                <w:sz w:val="22"/>
                <w:szCs w:val="22"/>
              </w:rPr>
              <w:t>(</w:t>
            </w:r>
            <w:bookmarkEnd w:id="0"/>
            <w:r w:rsidRPr="00D4394F">
              <w:rPr>
                <w:rFonts w:ascii="TimesNewRomanPS" w:hAnsi="TimesNewRomanPS" w:cs="TimesNewRomanPS"/>
                <w:color w:val="231F20"/>
                <w:sz w:val="22"/>
                <w:szCs w:val="22"/>
              </w:rPr>
              <w:t>each prescription)</w:t>
            </w:r>
          </w:p>
          <w:p w:rsidR="00B67D1D" w:rsidRPr="00253C55" w:rsidRDefault="00B67D1D">
            <w:pPr>
              <w:pStyle w:val="BalloonText"/>
            </w:pPr>
          </w:p>
        </w:tc>
        <w:tc>
          <w:tcPr>
            <w:tcW w:w="1385" w:type="pct"/>
          </w:tcPr>
          <w:p w:rsidR="00B67D1D" w:rsidRPr="00D4394F" w:rsidRDefault="00B67D1D">
            <w:pPr>
              <w:autoSpaceDE w:val="0"/>
              <w:autoSpaceDN w:val="0"/>
              <w:adjustRightInd w:val="0"/>
            </w:pPr>
            <w:r w:rsidRPr="00253C55">
              <w:rPr>
                <w:b/>
              </w:rPr>
              <w:t>&lt;</w:t>
            </w:r>
            <w:r w:rsidRPr="00253C55">
              <w:t>$0/$3.</w:t>
            </w:r>
            <w:r w:rsidR="00C6667B" w:rsidRPr="00253C55">
              <w:t>6</w:t>
            </w:r>
            <w:r w:rsidRPr="00253C55">
              <w:t>0/ $</w:t>
            </w:r>
            <w:r w:rsidR="00A95B9F">
              <w:t>7.40</w:t>
            </w:r>
            <w:r w:rsidR="00375206">
              <w:t>/</w:t>
            </w:r>
            <w:r w:rsidRPr="00253C55">
              <w:t>15%</w:t>
            </w:r>
            <w:r w:rsidR="00253C55">
              <w:t>&gt;</w:t>
            </w:r>
            <w:r w:rsidRPr="00D4394F">
              <w:t xml:space="preserve"> (each prescription)</w:t>
            </w:r>
          </w:p>
          <w:p w:rsidR="00B67D1D" w:rsidRPr="00D4394F" w:rsidRDefault="00B67D1D">
            <w:pPr>
              <w:autoSpaceDE w:val="0"/>
              <w:autoSpaceDN w:val="0"/>
              <w:adjustRightInd w:val="0"/>
            </w:pPr>
          </w:p>
        </w:tc>
      </w:tr>
    </w:tbl>
    <w:p w:rsidR="00B67D1D" w:rsidRPr="00AE7A54" w:rsidRDefault="00B67D1D"/>
    <w:p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 $</w:t>
      </w:r>
      <w:r w:rsidR="00A95B9F">
        <w:rPr>
          <w:i/>
        </w:rPr>
        <w:t>74</w:t>
      </w:r>
      <w:r w:rsidR="00A95B9F"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$2.</w:t>
      </w:r>
      <w:r w:rsidR="00A95B9F">
        <w:rPr>
          <w:i/>
        </w:rPr>
        <w:t>95</w:t>
      </w:r>
      <w:r w:rsidR="00A95B9F" w:rsidRPr="00CE077D">
        <w:rPr>
          <w:i/>
        </w:rPr>
        <w:t xml:space="preserve"> </w:t>
      </w:r>
      <w:r w:rsidR="00B67D1D" w:rsidRPr="00CE077D">
        <w:rPr>
          <w:i/>
        </w:rPr>
        <w:t xml:space="preserve">co-payment for generics, but your plan is a $0 generic </w:t>
      </w:r>
      <w:proofErr w:type="gramStart"/>
      <w:r w:rsidR="00B67D1D" w:rsidRPr="00CE077D">
        <w:rPr>
          <w:i/>
        </w:rPr>
        <w:t>plan,</w:t>
      </w:r>
      <w:proofErr w:type="gramEnd"/>
      <w:r w:rsidR="00B67D1D" w:rsidRPr="00CE077D">
        <w:rPr>
          <w:i/>
        </w:rPr>
        <w:t xml:space="preserve">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A95B9F" w:rsidRPr="00AE7A54">
        <w:rPr>
          <w:i/>
        </w:rPr>
        <w:t>201</w:t>
      </w:r>
      <w:r w:rsidR="00A95B9F">
        <w:rPr>
          <w:i/>
        </w:rPr>
        <w:t>6</w:t>
      </w:r>
      <w:r w:rsidR="00A95B9F">
        <w:rPr>
          <w:i/>
        </w:rPr>
        <w:t xml:space="preserve">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rsidR="00B67D1D" w:rsidRPr="00AE7A54" w:rsidRDefault="00B67D1D">
      <w:pPr>
        <w:autoSpaceDE w:val="0"/>
        <w:autoSpaceDN w:val="0"/>
        <w:adjustRightInd w:val="0"/>
        <w:rPr>
          <w:rFonts w:ascii="Arial" w:hAnsi="Arial" w:cs="Arial"/>
          <w:i/>
        </w:rPr>
      </w:pPr>
    </w:p>
    <w:p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rsidR="00B67D1D" w:rsidRPr="00AE7A54" w:rsidRDefault="00B67D1D">
      <w:pPr>
        <w:tabs>
          <w:tab w:val="left" w:pos="0"/>
        </w:tabs>
        <w:autoSpaceDE w:val="0"/>
        <w:autoSpaceDN w:val="0"/>
        <w:adjustRightInd w:val="0"/>
        <w:jc w:val="both"/>
      </w:pPr>
    </w:p>
    <w:p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rsidR="00B67D1D" w:rsidRPr="00AE7A54" w:rsidRDefault="00B67D1D">
      <w:pPr>
        <w:tabs>
          <w:tab w:val="left" w:pos="0"/>
        </w:tabs>
        <w:autoSpaceDE w:val="0"/>
        <w:autoSpaceDN w:val="0"/>
        <w:adjustRightInd w:val="0"/>
        <w:jc w:val="both"/>
        <w:rPr>
          <w:b/>
          <w:bCs/>
        </w:rPr>
      </w:pPr>
    </w:p>
    <w:p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rsidR="00B67D1D" w:rsidRPr="00AE7A54" w:rsidRDefault="00B67D1D"/>
    <w:p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&lt;$1.20/ $2.</w:t>
      </w:r>
      <w:r w:rsidR="00A95B9F">
        <w:t>95</w:t>
      </w:r>
      <w:r w:rsidR="00A95B9F" w:rsidRPr="00253C55">
        <w:t xml:space="preserve"> </w:t>
      </w:r>
      <w:r w:rsidR="00C6667B" w:rsidRPr="00253C55">
        <w:t>/15%&gt;</w:t>
      </w:r>
      <w:r w:rsidR="00ED2640">
        <w:t xml:space="preserve"> </w:t>
      </w:r>
      <w:r w:rsidR="00C6667B" w:rsidRPr="00D4394F">
        <w:rPr>
          <w:rFonts w:ascii="TimesNewRomanPS" w:hAnsi="TimesNewRomanPS" w:cs="TimesNewRomanPS"/>
          <w:color w:val="231F20"/>
          <w:sz w:val="22"/>
          <w:szCs w:val="22"/>
        </w:rPr>
        <w:t>(</w:t>
      </w:r>
      <w:proofErr w:type="gramStart"/>
      <w:r w:rsidRPr="00D4394F">
        <w:t>for</w:t>
      </w:r>
      <w:proofErr w:type="gramEnd"/>
      <w:r w:rsidRPr="00D4394F">
        <w:t xml:space="preserve"> generic and preferred multi-source drugs.]</w:t>
      </w:r>
    </w:p>
    <w:p w:rsidR="00B67D1D" w:rsidRPr="00D4394F" w:rsidRDefault="00B67D1D"/>
    <w:p w:rsidR="00B67D1D" w:rsidRPr="00D4394F" w:rsidRDefault="00B67D1D">
      <w:pPr>
        <w:rPr>
          <w:iCs/>
        </w:rPr>
      </w:pPr>
      <w:r w:rsidRPr="00D4394F">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proofErr w:type="gramStart"/>
      <w:r w:rsidRPr="00253C55">
        <w:rPr>
          <w:i/>
          <w:iCs/>
        </w:rPr>
        <w:t>&gt;</w:t>
      </w:r>
      <w:r w:rsidRPr="00D4394F">
        <w:rPr>
          <w:i/>
          <w:iCs/>
        </w:rPr>
        <w:t xml:space="preserve"> </w:t>
      </w:r>
      <w:r w:rsidRPr="00D4394F">
        <w:rPr>
          <w:iCs/>
        </w:rPr>
        <w:t>]</w:t>
      </w:r>
      <w:proofErr w:type="gramEnd"/>
    </w:p>
    <w:p w:rsidR="00B67D1D" w:rsidRPr="00D4394F" w:rsidRDefault="00B67D1D">
      <w:pPr>
        <w:rPr>
          <w:i/>
          <w:iCs/>
        </w:rPr>
      </w:pPr>
    </w:p>
    <w:p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rsidR="00B67D1D" w:rsidRPr="00D4394F" w:rsidRDefault="00B67D1D">
      <w:pPr>
        <w:autoSpaceDE w:val="0"/>
        <w:autoSpaceDN w:val="0"/>
        <w:adjustRightInd w:val="0"/>
        <w:rPr>
          <w:rFonts w:ascii="Arial" w:hAnsi="Arial" w:cs="Arial"/>
          <w:color w:val="0000FF"/>
          <w:sz w:val="20"/>
        </w:rPr>
      </w:pPr>
    </w:p>
    <w:p w:rsidR="00B67D1D" w:rsidRPr="00D4394F" w:rsidRDefault="00B67D1D">
      <w:r w:rsidRPr="00D4394F">
        <w:t xml:space="preserve">Once the amount both you </w:t>
      </w:r>
      <w:r w:rsidRPr="00D4394F">
        <w:rPr>
          <w:b/>
          <w:bCs/>
          <w:u w:val="single"/>
        </w:rPr>
        <w:t>and</w:t>
      </w:r>
      <w:r w:rsidRPr="00D4394F">
        <w:t xml:space="preserve"> Medicare pay (as the extra help) reaches $4</w:t>
      </w:r>
      <w:proofErr w:type="gramStart"/>
      <w:r w:rsidRPr="00D4394F">
        <w:t>,</w:t>
      </w:r>
      <w:proofErr w:type="gramEnd"/>
      <w:r w:rsidR="00A95B9F">
        <w:t>85</w:t>
      </w:r>
      <w:r w:rsidR="00A95B9F">
        <w:t>0</w:t>
      </w:r>
      <w:r w:rsidR="00A95B9F" w:rsidRPr="00D4394F">
        <w:t xml:space="preserve"> </w:t>
      </w:r>
      <w:r w:rsidRPr="00D4394F">
        <w:t xml:space="preserve">in a year, your co-payment amount(s) will go down to </w:t>
      </w:r>
      <w:r w:rsidRPr="00253C55">
        <w:t>&lt;$0 per prescription/ $2.</w:t>
      </w:r>
      <w:proofErr w:type="gramStart"/>
      <w:r w:rsidR="00A95B9F">
        <w:t>9</w:t>
      </w:r>
      <w:r w:rsidR="00A95B9F" w:rsidRPr="00253C55">
        <w:t xml:space="preserve">5 </w:t>
      </w:r>
      <w:r w:rsidRPr="00253C55">
        <w:t>for generic and preferred brand drugs that are multi-source, or $</w:t>
      </w:r>
      <w:proofErr w:type="gramEnd"/>
      <w:r w:rsidR="00A95B9F">
        <w:t>7.40</w:t>
      </w:r>
      <w:bookmarkStart w:id="1" w:name="_GoBack"/>
      <w:bookmarkEnd w:id="1"/>
      <w:r w:rsidRPr="00253C55">
        <w:t xml:space="preserve"> for all others&gt;</w:t>
      </w:r>
      <w:r w:rsidRPr="00D4394F">
        <w:t>.</w:t>
      </w:r>
    </w:p>
    <w:p w:rsidR="00B67D1D" w:rsidRPr="00D4394F" w:rsidRDefault="00B67D1D">
      <w:pPr>
        <w:autoSpaceDE w:val="0"/>
        <w:autoSpaceDN w:val="0"/>
        <w:adjustRightInd w:val="0"/>
      </w:pPr>
    </w:p>
    <w:p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rsidR="00B67D1D" w:rsidRPr="00CE077D" w:rsidRDefault="00B67D1D"/>
    <w:p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rsidR="00B67D1D" w:rsidRPr="00D4394F" w:rsidRDefault="00B67D1D"/>
    <w:p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rsidR="00B67D1D" w:rsidRPr="00253C55" w:rsidRDefault="00B67D1D"/>
    <w:p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rsidR="001206C5" w:rsidRPr="00947283" w:rsidRDefault="001206C5" w:rsidP="001206C5"/>
    <w:p w:rsidR="001206C5" w:rsidRPr="00C7379C" w:rsidRDefault="00C7379C" w:rsidP="001206C5">
      <w:pPr>
        <w:rPr>
          <w:i/>
        </w:rPr>
      </w:pPr>
      <w:r>
        <w:rPr>
          <w:i/>
          <w:iCs/>
        </w:rPr>
        <w:t>[</w:t>
      </w:r>
      <w:r w:rsidR="007B43D4" w:rsidRPr="00C7379C">
        <w:rPr>
          <w:i/>
          <w:iCs/>
        </w:rPr>
        <w:t xml:space="preserve">Appropriate language, including disclaimers, is expected to appear in this document on topics including: </w:t>
      </w:r>
      <w:r w:rsidR="007B43D4" w:rsidRPr="00C7379C">
        <w:rPr>
          <w:i/>
        </w:rPr>
        <w:t>benefits (MMG §50.2); Federal contracting (MMG §50.1); material ID Number (MMG §40.1); non-English translations (MMG §50.4); Part B premiums (MMG §50.3)</w:t>
      </w:r>
      <w:r>
        <w:rPr>
          <w:i/>
        </w:rPr>
        <w:t>]</w:t>
      </w:r>
      <w:r w:rsidR="00D8345D" w:rsidRPr="00C7379C">
        <w:rPr>
          <w:i/>
        </w:rPr>
        <w:t>.</w:t>
      </w:r>
    </w:p>
    <w:p w:rsidR="00D074B5" w:rsidRDefault="00D074B5" w:rsidP="00D074B5"/>
    <w:sectPr w:rsidR="00D074B5" w:rsidSect="00B67D1D">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A71" w:rsidRDefault="00334A71">
      <w:r>
        <w:separator/>
      </w:r>
    </w:p>
  </w:endnote>
  <w:endnote w:type="continuationSeparator" w:id="0">
    <w:p w:rsidR="00334A71" w:rsidRDefault="0033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777A86">
      <w:rPr>
        <w:rStyle w:val="PageNumber"/>
        <w:noProof/>
      </w:rPr>
      <w:t>3</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777A86">
      <w:rPr>
        <w:rStyle w:val="PageNumber"/>
        <w:noProof/>
      </w:rPr>
      <w:t>3</w:t>
    </w:r>
    <w:r w:rsidR="00784A02">
      <w:rPr>
        <w:rStyle w:val="PageNumber"/>
      </w:rPr>
      <w:fldChar w:fldCharType="end"/>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A71" w:rsidRDefault="00334A71">
      <w:r>
        <w:separator/>
      </w:r>
    </w:p>
  </w:footnote>
  <w:footnote w:type="continuationSeparator" w:id="0">
    <w:p w:rsidR="00334A71" w:rsidRDefault="00334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EF1FB5" w:rsidP="00B67D1D">
    <w:pPr>
      <w:pStyle w:val="Header"/>
    </w:pPr>
    <w:r>
      <w:t xml:space="preserve">2016 </w:t>
    </w:r>
    <w:r w:rsidR="00A418D4">
      <w:t xml:space="preserve">Part D </w:t>
    </w:r>
    <w:r w:rsidR="00C36DB6">
      <w:t xml:space="preserve">Model </w:t>
    </w:r>
    <w:r w:rsidR="00180E35">
      <w:t>LIS Rider</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CEB7F4"/>
    <w:lvl w:ilvl="0">
      <w:numFmt w:val="bullet"/>
      <w:lvlText w:val="*"/>
      <w:lvlJc w:val="left"/>
    </w:lvl>
  </w:abstractNum>
  <w:abstractNum w:abstractNumId="1">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83"/>
    <w:rsid w:val="00050B9F"/>
    <w:rsid w:val="000561FB"/>
    <w:rsid w:val="00056EAB"/>
    <w:rsid w:val="000A0FAB"/>
    <w:rsid w:val="00111B5F"/>
    <w:rsid w:val="0011726A"/>
    <w:rsid w:val="001206C5"/>
    <w:rsid w:val="00161722"/>
    <w:rsid w:val="00173F59"/>
    <w:rsid w:val="00180E35"/>
    <w:rsid w:val="001C3781"/>
    <w:rsid w:val="001E477D"/>
    <w:rsid w:val="001F60DD"/>
    <w:rsid w:val="00253C55"/>
    <w:rsid w:val="00260835"/>
    <w:rsid w:val="00277877"/>
    <w:rsid w:val="00284689"/>
    <w:rsid w:val="002867F3"/>
    <w:rsid w:val="00295345"/>
    <w:rsid w:val="002C0E0C"/>
    <w:rsid w:val="002D3630"/>
    <w:rsid w:val="00307A63"/>
    <w:rsid w:val="003178DA"/>
    <w:rsid w:val="00326B7A"/>
    <w:rsid w:val="00334A71"/>
    <w:rsid w:val="00364DA1"/>
    <w:rsid w:val="00371F80"/>
    <w:rsid w:val="00373850"/>
    <w:rsid w:val="00375206"/>
    <w:rsid w:val="003D0BAC"/>
    <w:rsid w:val="003E5D63"/>
    <w:rsid w:val="004251EB"/>
    <w:rsid w:val="004752E7"/>
    <w:rsid w:val="004B462D"/>
    <w:rsid w:val="004E7B9A"/>
    <w:rsid w:val="005C1A60"/>
    <w:rsid w:val="005E13FE"/>
    <w:rsid w:val="005E71B1"/>
    <w:rsid w:val="00641B24"/>
    <w:rsid w:val="0064779C"/>
    <w:rsid w:val="00673A7F"/>
    <w:rsid w:val="006C5251"/>
    <w:rsid w:val="00727E7A"/>
    <w:rsid w:val="00777A86"/>
    <w:rsid w:val="00784A02"/>
    <w:rsid w:val="007B43D4"/>
    <w:rsid w:val="007D2559"/>
    <w:rsid w:val="007E219B"/>
    <w:rsid w:val="00822D80"/>
    <w:rsid w:val="0086434D"/>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3369"/>
    <w:rsid w:val="00B07A7F"/>
    <w:rsid w:val="00B24C1E"/>
    <w:rsid w:val="00B67D1D"/>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883"/>
    <w:rsid w:val="00E5527E"/>
    <w:rsid w:val="00E639B6"/>
    <w:rsid w:val="00E650C8"/>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AA98D-A8F7-4B94-A66E-7F025725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1297</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4</cp:revision>
  <cp:lastPrinted>2014-04-21T20:04:00Z</cp:lastPrinted>
  <dcterms:created xsi:type="dcterms:W3CDTF">2015-05-11T14:51:00Z</dcterms:created>
  <dcterms:modified xsi:type="dcterms:W3CDTF">2015-05-12T17:08:00Z</dcterms:modified>
</cp:coreProperties>
</file>